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F5A42" w14:textId="77777777" w:rsidR="004921B8" w:rsidRPr="0012035F" w:rsidRDefault="004921B8" w:rsidP="009C2AEE">
      <w:pPr>
        <w:pStyle w:val="Normlnweb"/>
        <w:shd w:val="clear" w:color="auto" w:fill="FFFFFF"/>
        <w:spacing w:before="0" w:beforeAutospacing="0" w:after="165" w:afterAutospacing="0"/>
        <w:ind w:right="157"/>
        <w:jc w:val="both"/>
        <w:rPr>
          <w:rFonts w:asciiTheme="minorHAnsi" w:hAnsiTheme="minorHAnsi" w:cstheme="minorHAnsi"/>
          <w:bCs/>
          <w:iCs/>
          <w:sz w:val="21"/>
          <w:szCs w:val="21"/>
        </w:rPr>
      </w:pPr>
      <w:r w:rsidRPr="0012035F">
        <w:rPr>
          <w:rFonts w:asciiTheme="minorHAnsi" w:hAnsiTheme="minorHAnsi" w:cstheme="minorHAnsi"/>
          <w:bCs/>
          <w:color w:val="0070C0"/>
          <w:sz w:val="32"/>
          <w:szCs w:val="32"/>
        </w:rPr>
        <w:t>Tisková zpráva</w:t>
      </w:r>
    </w:p>
    <w:p w14:paraId="15065AD7" w14:textId="507DC75A" w:rsidR="004921B8" w:rsidRDefault="00C732B9" w:rsidP="009C2AEE">
      <w:pPr>
        <w:spacing w:line="360" w:lineRule="auto"/>
        <w:ind w:right="157"/>
        <w:jc w:val="both"/>
        <w:rPr>
          <w:rFonts w:asciiTheme="minorHAnsi" w:hAnsiTheme="minorHAnsi" w:cstheme="minorHAnsi"/>
          <w:i/>
          <w:sz w:val="21"/>
          <w:szCs w:val="21"/>
        </w:rPr>
      </w:pPr>
      <w:r>
        <w:rPr>
          <w:rFonts w:asciiTheme="minorHAnsi" w:hAnsiTheme="minorHAnsi" w:cstheme="minorHAnsi"/>
          <w:i/>
          <w:sz w:val="21"/>
          <w:szCs w:val="21"/>
        </w:rPr>
        <w:t>15</w:t>
      </w:r>
      <w:r w:rsidR="003470EB">
        <w:rPr>
          <w:rFonts w:asciiTheme="minorHAnsi" w:hAnsiTheme="minorHAnsi" w:cstheme="minorHAnsi"/>
          <w:i/>
          <w:sz w:val="21"/>
          <w:szCs w:val="21"/>
        </w:rPr>
        <w:t xml:space="preserve">. </w:t>
      </w:r>
      <w:r>
        <w:rPr>
          <w:rFonts w:asciiTheme="minorHAnsi" w:hAnsiTheme="minorHAnsi" w:cstheme="minorHAnsi"/>
          <w:i/>
          <w:sz w:val="21"/>
          <w:szCs w:val="21"/>
        </w:rPr>
        <w:t>října</w:t>
      </w:r>
      <w:r w:rsidR="00433C6B">
        <w:rPr>
          <w:rFonts w:asciiTheme="minorHAnsi" w:hAnsiTheme="minorHAnsi" w:cstheme="minorHAnsi"/>
          <w:i/>
          <w:sz w:val="21"/>
          <w:szCs w:val="21"/>
        </w:rPr>
        <w:t xml:space="preserve"> </w:t>
      </w:r>
      <w:r w:rsidR="004921B8" w:rsidRPr="004F7074">
        <w:rPr>
          <w:rFonts w:asciiTheme="minorHAnsi" w:hAnsiTheme="minorHAnsi" w:cstheme="minorHAnsi"/>
          <w:i/>
          <w:sz w:val="21"/>
          <w:szCs w:val="21"/>
        </w:rPr>
        <w:t>202</w:t>
      </w:r>
      <w:r>
        <w:rPr>
          <w:rFonts w:asciiTheme="minorHAnsi" w:hAnsiTheme="minorHAnsi" w:cstheme="minorHAnsi"/>
          <w:i/>
          <w:sz w:val="21"/>
          <w:szCs w:val="21"/>
        </w:rPr>
        <w:t>6</w:t>
      </w:r>
      <w:r w:rsidR="004921B8" w:rsidRPr="004F7074">
        <w:rPr>
          <w:rFonts w:asciiTheme="minorHAnsi" w:hAnsiTheme="minorHAnsi" w:cstheme="minorHAnsi"/>
          <w:i/>
          <w:sz w:val="21"/>
          <w:szCs w:val="21"/>
        </w:rPr>
        <w:t>, Brno</w:t>
      </w:r>
    </w:p>
    <w:p w14:paraId="1BAFBAA8" w14:textId="77777777" w:rsidR="00C732B9" w:rsidRPr="00C732B9" w:rsidRDefault="00C732B9" w:rsidP="00C732B9">
      <w:pPr>
        <w:spacing w:after="240" w:line="276" w:lineRule="auto"/>
        <w:ind w:right="157"/>
        <w:jc w:val="both"/>
        <w:rPr>
          <w:rFonts w:asciiTheme="minorHAnsi" w:hAnsiTheme="minorHAnsi" w:cstheme="minorHAnsi"/>
          <w:b/>
          <w:bCs/>
          <w:iCs/>
          <w:color w:val="0070C0"/>
          <w:sz w:val="36"/>
          <w:szCs w:val="36"/>
        </w:rPr>
      </w:pPr>
      <w:r w:rsidRPr="00C732B9">
        <w:rPr>
          <w:rFonts w:asciiTheme="minorHAnsi" w:hAnsiTheme="minorHAnsi" w:cstheme="minorHAnsi"/>
          <w:b/>
          <w:bCs/>
          <w:iCs/>
          <w:color w:val="0070C0"/>
          <w:sz w:val="36"/>
          <w:szCs w:val="36"/>
        </w:rPr>
        <w:t>Kolik emisí ušetří kombinovaná doprava? CDV představuje novou kalkulačku</w:t>
      </w:r>
    </w:p>
    <w:p w14:paraId="4924EDFE" w14:textId="0AC0D8AD" w:rsidR="00C732B9" w:rsidRPr="00C732B9" w:rsidRDefault="00C732B9" w:rsidP="00C732B9">
      <w:pPr>
        <w:spacing w:after="240" w:line="276" w:lineRule="auto"/>
        <w:ind w:right="157"/>
        <w:jc w:val="both"/>
        <w:rPr>
          <w:rFonts w:asciiTheme="minorHAnsi" w:hAnsiTheme="minorHAnsi" w:cstheme="minorHAnsi"/>
          <w:b/>
          <w:bCs/>
          <w:iCs/>
          <w:sz w:val="22"/>
          <w:szCs w:val="22"/>
        </w:rPr>
      </w:pPr>
      <w:r w:rsidRPr="00C732B9">
        <w:rPr>
          <w:rFonts w:asciiTheme="minorHAnsi" w:hAnsiTheme="minorHAnsi" w:cstheme="minorHAnsi"/>
          <w:b/>
          <w:bCs/>
          <w:iCs/>
          <w:sz w:val="22"/>
          <w:szCs w:val="22"/>
        </w:rPr>
        <w:t>Centrum dopravního výzkumu vyvinulo online nástroj, který firmám umožňuje porovnat emisní intenzitu přepravy zboží kombinovanou dopravou využívající silniční a železniční dopravu s realizací pouze silniční dopravou. Kalkulačka vychází z mezinárodní normy ISO 14083:2023 a zohledňuje konkrétní parametry přepravy. V řadě případů může kombinovaná doprava dosahovat pouze třetinové až poloviční emisní intenzity oproti přímé silniční přepravě.</w:t>
      </w:r>
    </w:p>
    <w:p w14:paraId="476CDC3D" w14:textId="773BB894" w:rsidR="00C732B9" w:rsidRPr="00C732B9" w:rsidRDefault="00C732B9" w:rsidP="00C732B9">
      <w:pPr>
        <w:spacing w:after="240" w:line="276" w:lineRule="auto"/>
        <w:ind w:right="157"/>
        <w:jc w:val="both"/>
        <w:rPr>
          <w:rFonts w:asciiTheme="minorHAnsi" w:hAnsiTheme="minorHAnsi" w:cstheme="minorHAnsi"/>
          <w:b/>
          <w:bCs/>
          <w:iCs/>
          <w:sz w:val="28"/>
          <w:szCs w:val="28"/>
        </w:rPr>
      </w:pPr>
      <w:r w:rsidRPr="00C732B9">
        <w:rPr>
          <w:rFonts w:asciiTheme="minorHAnsi" w:hAnsiTheme="minorHAnsi" w:cstheme="minorHAnsi"/>
          <w:b/>
          <w:bCs/>
          <w:iCs/>
          <w:sz w:val="28"/>
          <w:szCs w:val="28"/>
        </w:rPr>
        <w:t>Firmy mohou porovnat emise různých způsobů přepravy</w:t>
      </w:r>
    </w:p>
    <w:p w14:paraId="3649EFEB" w14:textId="77777777" w:rsidR="00C732B9" w:rsidRPr="00C732B9" w:rsidRDefault="00C732B9" w:rsidP="00C732B9">
      <w:pPr>
        <w:spacing w:after="240" w:line="276" w:lineRule="auto"/>
        <w:ind w:right="157"/>
        <w:jc w:val="both"/>
        <w:rPr>
          <w:rFonts w:asciiTheme="minorHAnsi" w:hAnsiTheme="minorHAnsi" w:cstheme="minorHAnsi"/>
          <w:iCs/>
          <w:sz w:val="22"/>
          <w:szCs w:val="22"/>
        </w:rPr>
      </w:pPr>
      <w:r w:rsidRPr="00C732B9">
        <w:rPr>
          <w:rFonts w:asciiTheme="minorHAnsi" w:hAnsiTheme="minorHAnsi" w:cstheme="minorHAnsi"/>
          <w:iCs/>
          <w:sz w:val="22"/>
          <w:szCs w:val="22"/>
        </w:rPr>
        <w:t>Centrum dopravního výzkumu (CDV) vyvinulo online kalkulačku emisní intenzity kombinované nákladní dopravy. Nástroj umožňuje firmám využívajícím kombinovanou dopravu i těm, které o ní uvažují, porovnat emise skleníkových plynů při přepravě zboží po železnici v kombinaci se silničním svozem a rozvozem s emisemi při přímé silniční přepravě.</w:t>
      </w:r>
    </w:p>
    <w:p w14:paraId="4D85E974" w14:textId="77777777" w:rsidR="00C732B9" w:rsidRPr="00C732B9" w:rsidRDefault="00C732B9" w:rsidP="00C732B9">
      <w:pPr>
        <w:spacing w:after="240" w:line="276" w:lineRule="auto"/>
        <w:ind w:right="157"/>
        <w:jc w:val="both"/>
        <w:rPr>
          <w:rFonts w:asciiTheme="minorHAnsi" w:hAnsiTheme="minorHAnsi" w:cstheme="minorHAnsi"/>
          <w:iCs/>
          <w:sz w:val="22"/>
          <w:szCs w:val="22"/>
        </w:rPr>
      </w:pPr>
      <w:r w:rsidRPr="00C732B9">
        <w:rPr>
          <w:rFonts w:asciiTheme="minorHAnsi" w:hAnsiTheme="minorHAnsi" w:cstheme="minorHAnsi"/>
          <w:iCs/>
          <w:sz w:val="22"/>
          <w:szCs w:val="22"/>
        </w:rPr>
        <w:t>Kalkulačka je dostupná na webovém portálu kombinovanapreprava.cz. Její výpočty vycházejí z mezinárodní normy ISO 14083:2023 a zohledňují zadané parametry přepravy. Výpočet pracuje s emisemi vyjádřenými v ekvivalentu oxidu uhličitého (</w:t>
      </w:r>
      <w:proofErr w:type="spellStart"/>
      <w:r w:rsidRPr="00C732B9">
        <w:rPr>
          <w:rFonts w:asciiTheme="minorHAnsi" w:hAnsiTheme="minorHAnsi" w:cstheme="minorHAnsi"/>
          <w:iCs/>
          <w:sz w:val="22"/>
          <w:szCs w:val="22"/>
        </w:rPr>
        <w:t>CO₂e</w:t>
      </w:r>
      <w:proofErr w:type="spellEnd"/>
      <w:r w:rsidRPr="00C732B9">
        <w:rPr>
          <w:rFonts w:asciiTheme="minorHAnsi" w:hAnsiTheme="minorHAnsi" w:cstheme="minorHAnsi"/>
          <w:iCs/>
          <w:sz w:val="22"/>
          <w:szCs w:val="22"/>
        </w:rPr>
        <w:t>). Tento ukazatel umožňuje vyjádřit příspěvek různých skleníkových plynů ke globálnímu oteplování prostřednictvím společné jednotky. Uživatel tak může porovnat dvě dopravní řešení pro konkrétní přepravní relaci a získat podklady pro rozhodování o organizaci nákladní dopravy.</w:t>
      </w:r>
    </w:p>
    <w:p w14:paraId="2559F43D" w14:textId="77777777" w:rsidR="00C732B9" w:rsidRPr="00C732B9" w:rsidRDefault="00C732B9" w:rsidP="00C732B9">
      <w:pPr>
        <w:spacing w:after="240" w:line="276" w:lineRule="auto"/>
        <w:ind w:right="157"/>
        <w:jc w:val="both"/>
        <w:rPr>
          <w:rFonts w:asciiTheme="minorHAnsi" w:hAnsiTheme="minorHAnsi" w:cstheme="minorHAnsi"/>
          <w:iCs/>
          <w:sz w:val="22"/>
          <w:szCs w:val="22"/>
        </w:rPr>
      </w:pPr>
      <w:r w:rsidRPr="00C732B9">
        <w:rPr>
          <w:rFonts w:asciiTheme="minorHAnsi" w:hAnsiTheme="minorHAnsi" w:cstheme="minorHAnsi"/>
          <w:i/>
          <w:sz w:val="22"/>
          <w:szCs w:val="22"/>
        </w:rPr>
        <w:t>„Emisní intenzita přepravy v rámci kombinované dopravy dosahuje v mnoha případech pouze jedné třetiny až jedné poloviny hodnot ve srovnání se silniční dopravou. Výsledná úspora však výrazně závisí na konkrétně zadaných parametrech, zejména na volbě vlakové linky. Cílem bylo vytvořit nástroj založený na mezinárodní normě, který je prakticky využitelný především pro tuzemské firmy využívající kombinovanou dopravu nebo uvažující o jejím využití,“</w:t>
      </w:r>
      <w:r w:rsidRPr="00C732B9">
        <w:rPr>
          <w:rFonts w:asciiTheme="minorHAnsi" w:hAnsiTheme="minorHAnsi" w:cstheme="minorHAnsi"/>
          <w:iCs/>
          <w:sz w:val="22"/>
          <w:szCs w:val="22"/>
        </w:rPr>
        <w:t xml:space="preserve"> uvádí Libor Krejčí z Centra dopravního výzkumu.</w:t>
      </w:r>
    </w:p>
    <w:p w14:paraId="06FB8D9F" w14:textId="77777777" w:rsidR="00C732B9" w:rsidRPr="00C732B9" w:rsidRDefault="00C732B9" w:rsidP="00C732B9">
      <w:pPr>
        <w:spacing w:after="240" w:line="276" w:lineRule="auto"/>
        <w:ind w:right="157"/>
        <w:jc w:val="both"/>
        <w:rPr>
          <w:rFonts w:asciiTheme="minorHAnsi" w:hAnsiTheme="minorHAnsi" w:cstheme="minorHAnsi"/>
          <w:b/>
          <w:bCs/>
          <w:iCs/>
          <w:sz w:val="28"/>
          <w:szCs w:val="28"/>
        </w:rPr>
      </w:pPr>
      <w:r w:rsidRPr="00C732B9">
        <w:rPr>
          <w:rFonts w:asciiTheme="minorHAnsi" w:hAnsiTheme="minorHAnsi" w:cstheme="minorHAnsi"/>
          <w:b/>
          <w:bCs/>
          <w:iCs/>
          <w:sz w:val="28"/>
          <w:szCs w:val="28"/>
        </w:rPr>
        <w:t>Jak kalkulačka funguje</w:t>
      </w:r>
    </w:p>
    <w:p w14:paraId="7B74CED8" w14:textId="77777777" w:rsidR="00C732B9" w:rsidRPr="00C732B9" w:rsidRDefault="00C732B9" w:rsidP="00C732B9">
      <w:pPr>
        <w:spacing w:after="240" w:line="276" w:lineRule="auto"/>
        <w:ind w:right="157"/>
        <w:jc w:val="both"/>
        <w:rPr>
          <w:rFonts w:asciiTheme="minorHAnsi" w:hAnsiTheme="minorHAnsi" w:cstheme="minorHAnsi"/>
          <w:iCs/>
          <w:sz w:val="22"/>
          <w:szCs w:val="22"/>
        </w:rPr>
      </w:pPr>
      <w:r w:rsidRPr="00C732B9">
        <w:rPr>
          <w:rFonts w:asciiTheme="minorHAnsi" w:hAnsiTheme="minorHAnsi" w:cstheme="minorHAnsi"/>
          <w:iCs/>
          <w:sz w:val="22"/>
          <w:szCs w:val="22"/>
        </w:rPr>
        <w:t>Uživatel nejprve vybere místo nakládky a vykládky zboží, zadá jeho hmotnost a typ přepravní jednotky. Kalkulačka následně doporučí vlakovou linku s ohledem na minimalizaci silničních vzdáleností při svozu a rozvozu. Uživatel si však může zvolit také jinou linku podle svých provozních potřeb či obchodní strategie.</w:t>
      </w:r>
    </w:p>
    <w:p w14:paraId="4B303C9D" w14:textId="77777777" w:rsidR="00C732B9" w:rsidRPr="00C732B9" w:rsidRDefault="00C732B9" w:rsidP="00C732B9">
      <w:pPr>
        <w:spacing w:after="240" w:line="276" w:lineRule="auto"/>
        <w:ind w:right="157"/>
        <w:jc w:val="both"/>
        <w:rPr>
          <w:rFonts w:asciiTheme="minorHAnsi" w:hAnsiTheme="minorHAnsi" w:cstheme="minorHAnsi"/>
          <w:iCs/>
          <w:sz w:val="22"/>
          <w:szCs w:val="22"/>
        </w:rPr>
      </w:pPr>
      <w:r w:rsidRPr="00C732B9">
        <w:rPr>
          <w:rFonts w:asciiTheme="minorHAnsi" w:hAnsiTheme="minorHAnsi" w:cstheme="minorHAnsi"/>
          <w:iCs/>
          <w:sz w:val="22"/>
          <w:szCs w:val="22"/>
        </w:rPr>
        <w:lastRenderedPageBreak/>
        <w:t>V dalším kroku lze upravit parametry silničního svozu a rozvozu, například zadat skutečnou spotřebu paliva nákladní soupravy. Pokud uživatel vlastní údaj nemá, může využít přednastavené hodnoty z databáze COPERT.</w:t>
      </w:r>
    </w:p>
    <w:p w14:paraId="14922E87" w14:textId="77777777" w:rsidR="00C732B9" w:rsidRPr="00C732B9" w:rsidRDefault="00C732B9" w:rsidP="00C732B9">
      <w:pPr>
        <w:spacing w:after="240" w:line="276" w:lineRule="auto"/>
        <w:ind w:right="157"/>
        <w:jc w:val="both"/>
        <w:rPr>
          <w:rFonts w:asciiTheme="minorHAnsi" w:hAnsiTheme="minorHAnsi" w:cstheme="minorHAnsi"/>
          <w:iCs/>
          <w:sz w:val="22"/>
          <w:szCs w:val="22"/>
        </w:rPr>
      </w:pPr>
      <w:r w:rsidRPr="00C732B9">
        <w:rPr>
          <w:rFonts w:asciiTheme="minorHAnsi" w:hAnsiTheme="minorHAnsi" w:cstheme="minorHAnsi"/>
          <w:iCs/>
          <w:sz w:val="22"/>
          <w:szCs w:val="22"/>
        </w:rPr>
        <w:t>Po zadání údajů kalkulačka zobrazí srovnání emisí skleníkových plynů pro kombinovanou a přímou silniční přepravu. Výsledky jsou prezentovány ve sloupcovém grafu a uživatel si může stáhnout podrobný výstup, který obdrží také na registrovanou e-mailovou adresu.</w:t>
      </w:r>
    </w:p>
    <w:p w14:paraId="470F9C34" w14:textId="77777777" w:rsidR="00C732B9" w:rsidRPr="00C732B9" w:rsidRDefault="00C732B9" w:rsidP="00C732B9">
      <w:pPr>
        <w:spacing w:after="240" w:line="276" w:lineRule="auto"/>
        <w:ind w:right="157"/>
        <w:jc w:val="both"/>
        <w:rPr>
          <w:rFonts w:asciiTheme="minorHAnsi" w:hAnsiTheme="minorHAnsi" w:cstheme="minorHAnsi"/>
          <w:iCs/>
          <w:sz w:val="22"/>
          <w:szCs w:val="22"/>
        </w:rPr>
      </w:pPr>
      <w:r w:rsidRPr="00C732B9">
        <w:rPr>
          <w:rFonts w:asciiTheme="minorHAnsi" w:hAnsiTheme="minorHAnsi" w:cstheme="minorHAnsi"/>
          <w:iCs/>
          <w:sz w:val="22"/>
          <w:szCs w:val="22"/>
        </w:rPr>
        <w:t xml:space="preserve">Následující příklad porovnává dvě varianty přepravy 24 tun zboží z Nymburka do německých Brém. Kombinovaná doprava využívající železniční linku Lovosice – Hannover </w:t>
      </w:r>
      <w:proofErr w:type="spellStart"/>
      <w:r w:rsidRPr="00C732B9">
        <w:rPr>
          <w:rFonts w:asciiTheme="minorHAnsi" w:hAnsiTheme="minorHAnsi" w:cstheme="minorHAnsi"/>
          <w:iCs/>
          <w:sz w:val="22"/>
          <w:szCs w:val="22"/>
        </w:rPr>
        <w:t>Lehrte</w:t>
      </w:r>
      <w:proofErr w:type="spellEnd"/>
      <w:r w:rsidRPr="00C732B9">
        <w:rPr>
          <w:rFonts w:asciiTheme="minorHAnsi" w:hAnsiTheme="minorHAnsi" w:cstheme="minorHAnsi"/>
          <w:iCs/>
          <w:sz w:val="22"/>
          <w:szCs w:val="22"/>
        </w:rPr>
        <w:t xml:space="preserve"> a silniční dopravu pro svoz a rozvoz z terminálu vygenerovala 425,9 kg </w:t>
      </w:r>
      <w:proofErr w:type="spellStart"/>
      <w:r w:rsidRPr="00C732B9">
        <w:rPr>
          <w:rFonts w:asciiTheme="minorHAnsi" w:hAnsiTheme="minorHAnsi" w:cstheme="minorHAnsi"/>
          <w:iCs/>
          <w:sz w:val="22"/>
          <w:szCs w:val="22"/>
        </w:rPr>
        <w:t>CO₂e</w:t>
      </w:r>
      <w:proofErr w:type="spellEnd"/>
      <w:r w:rsidRPr="00C732B9">
        <w:rPr>
          <w:rFonts w:asciiTheme="minorHAnsi" w:hAnsiTheme="minorHAnsi" w:cstheme="minorHAnsi"/>
          <w:iCs/>
          <w:sz w:val="22"/>
          <w:szCs w:val="22"/>
        </w:rPr>
        <w:t xml:space="preserve">. Oproti tomu varianta využívající pouze silniční dopravu 743,4 kg </w:t>
      </w:r>
      <w:proofErr w:type="spellStart"/>
      <w:r w:rsidRPr="00C732B9">
        <w:rPr>
          <w:rFonts w:asciiTheme="minorHAnsi" w:hAnsiTheme="minorHAnsi" w:cstheme="minorHAnsi"/>
          <w:iCs/>
          <w:sz w:val="22"/>
          <w:szCs w:val="22"/>
        </w:rPr>
        <w:t>CO₂e</w:t>
      </w:r>
      <w:proofErr w:type="spellEnd"/>
      <w:r w:rsidRPr="00C732B9">
        <w:rPr>
          <w:rFonts w:asciiTheme="minorHAnsi" w:hAnsiTheme="minorHAnsi" w:cstheme="minorHAnsi"/>
          <w:iCs/>
          <w:sz w:val="22"/>
          <w:szCs w:val="22"/>
        </w:rPr>
        <w:t>. Kombinovaná doprava by tak v tomto případě představovala úsporu 42 % emisí skleníkových plynů.</w:t>
      </w:r>
    </w:p>
    <w:p w14:paraId="3CE84258" w14:textId="318ED85C" w:rsidR="00C732B9" w:rsidRPr="00C732B9" w:rsidRDefault="00C732B9" w:rsidP="00C732B9">
      <w:pPr>
        <w:spacing w:after="240" w:line="276" w:lineRule="auto"/>
        <w:ind w:right="157"/>
        <w:jc w:val="both"/>
        <w:rPr>
          <w:rFonts w:asciiTheme="minorHAnsi" w:hAnsiTheme="minorHAnsi" w:cstheme="minorHAnsi"/>
          <w:iCs/>
          <w:sz w:val="22"/>
          <w:szCs w:val="22"/>
        </w:rPr>
      </w:pPr>
      <w:r w:rsidRPr="006F75F4">
        <w:rPr>
          <w:noProof/>
        </w:rPr>
        <w:drawing>
          <wp:inline distT="0" distB="0" distL="0" distR="0" wp14:anchorId="500F029C" wp14:editId="6AE3F58F">
            <wp:extent cx="5734850" cy="2781688"/>
            <wp:effectExtent l="0" t="0" r="0" b="0"/>
            <wp:docPr id="1887971026" name="Obrázek 1">
              <a:extLst xmlns:a="http://schemas.openxmlformats.org/drawingml/2006/main">
                <a:ext uri="{FF2B5EF4-FFF2-40B4-BE49-F238E27FC236}">
                  <a16:creationId xmlns:a16="http://schemas.microsoft.com/office/drawing/2014/main" id="{24D91CC9-9EAD-40DC-9C0B-DF757C188A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971026" name=""/>
                    <pic:cNvPicPr/>
                  </pic:nvPicPr>
                  <pic:blipFill>
                    <a:blip r:embed="rId8"/>
                    <a:stretch>
                      <a:fillRect/>
                    </a:stretch>
                  </pic:blipFill>
                  <pic:spPr>
                    <a:xfrm>
                      <a:off x="0" y="0"/>
                      <a:ext cx="5734850" cy="2781688"/>
                    </a:xfrm>
                    <a:prstGeom prst="rect">
                      <a:avLst/>
                    </a:prstGeom>
                  </pic:spPr>
                </pic:pic>
              </a:graphicData>
            </a:graphic>
          </wp:inline>
        </w:drawing>
      </w:r>
    </w:p>
    <w:p w14:paraId="35460070" w14:textId="77777777" w:rsidR="00C732B9" w:rsidRPr="00C732B9" w:rsidRDefault="00C732B9" w:rsidP="00C732B9">
      <w:pPr>
        <w:spacing w:after="240" w:line="276" w:lineRule="auto"/>
        <w:ind w:right="157"/>
        <w:jc w:val="center"/>
        <w:rPr>
          <w:rFonts w:asciiTheme="minorHAnsi" w:hAnsiTheme="minorHAnsi" w:cstheme="minorHAnsi"/>
          <w:iCs/>
          <w:sz w:val="22"/>
          <w:szCs w:val="22"/>
        </w:rPr>
      </w:pPr>
      <w:r w:rsidRPr="00C732B9">
        <w:rPr>
          <w:rFonts w:asciiTheme="minorHAnsi" w:hAnsiTheme="minorHAnsi" w:cstheme="minorHAnsi"/>
          <w:iCs/>
          <w:sz w:val="22"/>
          <w:szCs w:val="22"/>
        </w:rPr>
        <w:t xml:space="preserve">Obrázek 1 Srovnání generovaných CO2e pro kombinovanou dopravu a silniční dopravu pro trasu </w:t>
      </w:r>
      <w:proofErr w:type="gramStart"/>
      <w:r w:rsidRPr="00C732B9">
        <w:rPr>
          <w:rFonts w:asciiTheme="minorHAnsi" w:hAnsiTheme="minorHAnsi" w:cstheme="minorHAnsi"/>
          <w:iCs/>
          <w:sz w:val="22"/>
          <w:szCs w:val="22"/>
        </w:rPr>
        <w:t>Nymburk - Brémy</w:t>
      </w:r>
      <w:proofErr w:type="gramEnd"/>
      <w:r w:rsidRPr="00C732B9">
        <w:rPr>
          <w:rFonts w:asciiTheme="minorHAnsi" w:hAnsiTheme="minorHAnsi" w:cstheme="minorHAnsi"/>
          <w:iCs/>
          <w:sz w:val="22"/>
          <w:szCs w:val="22"/>
        </w:rPr>
        <w:t>. (zdroj: kombinovanapreprava.cz/</w:t>
      </w:r>
      <w:proofErr w:type="spellStart"/>
      <w:r w:rsidRPr="00C732B9">
        <w:rPr>
          <w:rFonts w:asciiTheme="minorHAnsi" w:hAnsiTheme="minorHAnsi" w:cstheme="minorHAnsi"/>
          <w:iCs/>
          <w:sz w:val="22"/>
          <w:szCs w:val="22"/>
        </w:rPr>
        <w:t>kalkulacka</w:t>
      </w:r>
      <w:proofErr w:type="spellEnd"/>
      <w:r w:rsidRPr="00C732B9">
        <w:rPr>
          <w:rFonts w:asciiTheme="minorHAnsi" w:hAnsiTheme="minorHAnsi" w:cstheme="minorHAnsi"/>
          <w:iCs/>
          <w:sz w:val="22"/>
          <w:szCs w:val="22"/>
        </w:rPr>
        <w:t>)</w:t>
      </w:r>
    </w:p>
    <w:p w14:paraId="598B93B1" w14:textId="77777777" w:rsidR="00C732B9" w:rsidRPr="00C732B9" w:rsidRDefault="00C732B9" w:rsidP="00C732B9">
      <w:pPr>
        <w:spacing w:after="240" w:line="276" w:lineRule="auto"/>
        <w:ind w:right="157"/>
        <w:jc w:val="both"/>
        <w:rPr>
          <w:rFonts w:asciiTheme="minorHAnsi" w:hAnsiTheme="minorHAnsi" w:cstheme="minorHAnsi"/>
          <w:iCs/>
          <w:sz w:val="22"/>
          <w:szCs w:val="22"/>
        </w:rPr>
      </w:pPr>
    </w:p>
    <w:p w14:paraId="5AADC052" w14:textId="77777777" w:rsidR="00C732B9" w:rsidRPr="00C732B9" w:rsidRDefault="00C732B9" w:rsidP="00C732B9">
      <w:pPr>
        <w:spacing w:after="240" w:line="276" w:lineRule="auto"/>
        <w:ind w:right="157"/>
        <w:jc w:val="both"/>
        <w:rPr>
          <w:rFonts w:asciiTheme="minorHAnsi" w:hAnsiTheme="minorHAnsi" w:cstheme="minorHAnsi"/>
          <w:b/>
          <w:bCs/>
          <w:iCs/>
          <w:sz w:val="28"/>
          <w:szCs w:val="28"/>
        </w:rPr>
      </w:pPr>
      <w:r w:rsidRPr="00C732B9">
        <w:rPr>
          <w:rFonts w:asciiTheme="minorHAnsi" w:hAnsiTheme="minorHAnsi" w:cstheme="minorHAnsi"/>
          <w:b/>
          <w:bCs/>
          <w:iCs/>
          <w:sz w:val="28"/>
          <w:szCs w:val="28"/>
        </w:rPr>
        <w:t>Kombinovaná doprava propojuje výhody železnice a silnice</w:t>
      </w:r>
    </w:p>
    <w:p w14:paraId="56B7ED84" w14:textId="77777777" w:rsidR="00C732B9" w:rsidRPr="00C732B9" w:rsidRDefault="00C732B9" w:rsidP="00C732B9">
      <w:pPr>
        <w:spacing w:after="240" w:line="276" w:lineRule="auto"/>
        <w:ind w:right="157"/>
        <w:jc w:val="both"/>
        <w:rPr>
          <w:rFonts w:asciiTheme="minorHAnsi" w:hAnsiTheme="minorHAnsi" w:cstheme="minorHAnsi"/>
          <w:iCs/>
          <w:sz w:val="22"/>
          <w:szCs w:val="22"/>
        </w:rPr>
      </w:pPr>
      <w:r w:rsidRPr="00C732B9">
        <w:rPr>
          <w:rFonts w:asciiTheme="minorHAnsi" w:hAnsiTheme="minorHAnsi" w:cstheme="minorHAnsi"/>
          <w:iCs/>
          <w:sz w:val="22"/>
          <w:szCs w:val="22"/>
        </w:rPr>
        <w:t>Silniční doprava zajišťuje v České republice významnou část přepravy zboží. Její výhodou je flexibilita a možnost obsloužit zákazníky přímo v místě nakládky či vykládky. Z hlediska emisní intenzity však zpravidla bývá výhodnější využití železnice, zejména při elektrické trakci. Železniční nákladní doprava však nedisponuje natolik hustou sítí, aby mohla efektivně obsloužit všechny zákazníky.</w:t>
      </w:r>
    </w:p>
    <w:p w14:paraId="691FD816" w14:textId="77777777" w:rsidR="00C732B9" w:rsidRPr="00C732B9" w:rsidRDefault="00C732B9" w:rsidP="00C732B9">
      <w:pPr>
        <w:spacing w:after="240" w:line="276" w:lineRule="auto"/>
        <w:ind w:right="157"/>
        <w:jc w:val="both"/>
        <w:rPr>
          <w:rFonts w:asciiTheme="minorHAnsi" w:hAnsiTheme="minorHAnsi" w:cstheme="minorHAnsi"/>
          <w:iCs/>
          <w:sz w:val="22"/>
          <w:szCs w:val="22"/>
        </w:rPr>
      </w:pPr>
      <w:r w:rsidRPr="00C732B9">
        <w:rPr>
          <w:rFonts w:asciiTheme="minorHAnsi" w:hAnsiTheme="minorHAnsi" w:cstheme="minorHAnsi"/>
          <w:iCs/>
          <w:sz w:val="22"/>
          <w:szCs w:val="22"/>
        </w:rPr>
        <w:lastRenderedPageBreak/>
        <w:t>Kombinovaná doprava tyto možnosti propojuje. Na delší vzdálenosti se zboží přepravuje po železnici, zatímco silniční doprava zajišťuje svoz do překládkového terminálu a následný rozvoz cílového terminálu k příjemci. Tento způsob přepravy tak spojuje dosah a flexibilitu silniční dopravy s výhodami železniční přepravy na hlavní části trasy.</w:t>
      </w:r>
    </w:p>
    <w:p w14:paraId="05B1BCDB" w14:textId="77777777" w:rsidR="00C732B9" w:rsidRPr="00C732B9" w:rsidRDefault="00C732B9" w:rsidP="00C732B9">
      <w:pPr>
        <w:spacing w:after="240" w:line="276" w:lineRule="auto"/>
        <w:ind w:right="157"/>
        <w:jc w:val="both"/>
        <w:rPr>
          <w:rFonts w:asciiTheme="minorHAnsi" w:hAnsiTheme="minorHAnsi" w:cstheme="minorHAnsi"/>
          <w:iCs/>
          <w:sz w:val="22"/>
          <w:szCs w:val="22"/>
        </w:rPr>
      </w:pPr>
      <w:r w:rsidRPr="00C732B9">
        <w:rPr>
          <w:rFonts w:asciiTheme="minorHAnsi" w:hAnsiTheme="minorHAnsi" w:cstheme="minorHAnsi"/>
          <w:iCs/>
          <w:sz w:val="22"/>
          <w:szCs w:val="22"/>
        </w:rPr>
        <w:t>Skutečná úspora emisí skleníkových plynů se liší podle konkrétní přepravní relace, vlakové linky, zvolené přepravní jednotky i dalších parametrů. Právě možnost zadat přesné parametry přepravy a důraz na respektování mezinárodní normy ISO 14083:2023 je jedním z hlavních přínosů vytvořené kalkulačky.</w:t>
      </w:r>
    </w:p>
    <w:p w14:paraId="0EA6D083" w14:textId="77777777" w:rsidR="00C732B9" w:rsidRPr="00C732B9" w:rsidRDefault="00C732B9" w:rsidP="00C732B9">
      <w:pPr>
        <w:spacing w:after="240" w:line="276" w:lineRule="auto"/>
        <w:ind w:right="157"/>
        <w:jc w:val="both"/>
        <w:rPr>
          <w:rFonts w:asciiTheme="minorHAnsi" w:hAnsiTheme="minorHAnsi" w:cstheme="minorHAnsi"/>
          <w:b/>
          <w:bCs/>
          <w:iCs/>
          <w:sz w:val="28"/>
          <w:szCs w:val="28"/>
        </w:rPr>
      </w:pPr>
      <w:r w:rsidRPr="00C732B9">
        <w:rPr>
          <w:rFonts w:asciiTheme="minorHAnsi" w:hAnsiTheme="minorHAnsi" w:cstheme="minorHAnsi"/>
          <w:b/>
          <w:bCs/>
          <w:iCs/>
          <w:sz w:val="28"/>
          <w:szCs w:val="28"/>
        </w:rPr>
        <w:t>Jednotná evropská metodika pro výpočet emisí z dopravy</w:t>
      </w:r>
    </w:p>
    <w:p w14:paraId="3099F8D9" w14:textId="77777777" w:rsidR="00C732B9" w:rsidRPr="00C732B9" w:rsidRDefault="00C732B9" w:rsidP="00C732B9">
      <w:pPr>
        <w:spacing w:after="240" w:line="276" w:lineRule="auto"/>
        <w:ind w:right="157"/>
        <w:jc w:val="both"/>
        <w:rPr>
          <w:rFonts w:asciiTheme="minorHAnsi" w:hAnsiTheme="minorHAnsi" w:cstheme="minorHAnsi"/>
          <w:iCs/>
          <w:sz w:val="22"/>
          <w:szCs w:val="22"/>
        </w:rPr>
      </w:pPr>
      <w:r w:rsidRPr="00C732B9">
        <w:rPr>
          <w:rFonts w:asciiTheme="minorHAnsi" w:hAnsiTheme="minorHAnsi" w:cstheme="minorHAnsi"/>
          <w:iCs/>
          <w:sz w:val="22"/>
          <w:szCs w:val="22"/>
        </w:rPr>
        <w:t>Na konci dubna 2026 bylo v Úředním věstníku Evropské unie zveřejněno nařízení Evropského parlamentu a Rady (EU) 2026/1030 o započítávání emisí skleníkových plynů z dopravních služeb. Nařízení stanovuje jednotný rámec pro výpočet emisní intenzity založený na mezinárodní normě EN ISO 14083:2023, který zahrnuje různé druhy osobní i nákladní dopravy a umožňuje posuzovat také přepravní řetězce kombinující více dopravních módů.</w:t>
      </w:r>
    </w:p>
    <w:p w14:paraId="1DEC6CB5" w14:textId="77777777" w:rsidR="00C732B9" w:rsidRPr="00C732B9" w:rsidRDefault="00C732B9" w:rsidP="00C732B9">
      <w:pPr>
        <w:spacing w:after="240" w:line="276" w:lineRule="auto"/>
        <w:ind w:right="157"/>
        <w:jc w:val="both"/>
        <w:rPr>
          <w:rFonts w:asciiTheme="minorHAnsi" w:hAnsiTheme="minorHAnsi" w:cstheme="minorHAnsi"/>
          <w:iCs/>
          <w:sz w:val="22"/>
          <w:szCs w:val="22"/>
        </w:rPr>
      </w:pPr>
      <w:r w:rsidRPr="00C732B9">
        <w:rPr>
          <w:rFonts w:asciiTheme="minorHAnsi" w:hAnsiTheme="minorHAnsi" w:cstheme="minorHAnsi"/>
          <w:iCs/>
          <w:sz w:val="22"/>
          <w:szCs w:val="22"/>
        </w:rPr>
        <w:t>Jednotný přístup má přispět k lepší srovnatelnosti údajů o emisích z dopravy a usnadnit hodnocení jednotlivých dopravních řešení. Plná použitelnost nařízení bude od 2. prosince 2030.</w:t>
      </w:r>
    </w:p>
    <w:p w14:paraId="1213275C" w14:textId="77777777" w:rsidR="00C732B9" w:rsidRPr="00C732B9" w:rsidRDefault="00C732B9" w:rsidP="00C732B9">
      <w:pPr>
        <w:spacing w:after="240" w:line="276" w:lineRule="auto"/>
        <w:ind w:right="157"/>
        <w:jc w:val="both"/>
        <w:rPr>
          <w:rFonts w:asciiTheme="minorHAnsi" w:hAnsiTheme="minorHAnsi" w:cstheme="minorHAnsi"/>
          <w:iCs/>
          <w:sz w:val="22"/>
          <w:szCs w:val="22"/>
        </w:rPr>
      </w:pPr>
      <w:r w:rsidRPr="00C732B9">
        <w:rPr>
          <w:rFonts w:asciiTheme="minorHAnsi" w:hAnsiTheme="minorHAnsi" w:cstheme="minorHAnsi"/>
          <w:i/>
          <w:sz w:val="22"/>
          <w:szCs w:val="22"/>
        </w:rPr>
        <w:t>„Toto nařízení je jedním z legislativních kroků Evropské unie zaměřených na snižování emisí skleníkových plynů, včetně oblasti dopravy. I když je jeho uplatňování časově rozloženo, lze očekávat, že význam sledování a vyhodnocování emisí z dopravy bude dále růst,“</w:t>
      </w:r>
      <w:r w:rsidRPr="00C732B9">
        <w:rPr>
          <w:rFonts w:asciiTheme="minorHAnsi" w:hAnsiTheme="minorHAnsi" w:cstheme="minorHAnsi"/>
          <w:iCs/>
          <w:sz w:val="22"/>
          <w:szCs w:val="22"/>
        </w:rPr>
        <w:t xml:space="preserve"> uvádí Libor Krejčí z Centra dopravního výzkumu.</w:t>
      </w:r>
    </w:p>
    <w:p w14:paraId="51A041FE" w14:textId="66A0050A" w:rsidR="00C732B9" w:rsidRPr="00C732B9" w:rsidRDefault="00C732B9" w:rsidP="00C732B9">
      <w:pPr>
        <w:spacing w:after="240" w:line="276" w:lineRule="auto"/>
        <w:ind w:right="157"/>
        <w:jc w:val="both"/>
        <w:rPr>
          <w:rFonts w:asciiTheme="minorHAnsi" w:hAnsiTheme="minorHAnsi" w:cstheme="minorHAnsi"/>
          <w:iCs/>
          <w:sz w:val="22"/>
          <w:szCs w:val="22"/>
        </w:rPr>
      </w:pPr>
      <w:r w:rsidRPr="00C732B9">
        <w:rPr>
          <w:rFonts w:asciiTheme="minorHAnsi" w:hAnsiTheme="minorHAnsi" w:cstheme="minorHAnsi"/>
          <w:iCs/>
          <w:sz w:val="22"/>
          <w:szCs w:val="22"/>
        </w:rPr>
        <w:t>Online kalkulačka je součástí informačního portálu o kombinované dopravě, který vyvinulo Centrum dopravního výzkumu, v. v. i., s využitím účelové neinvestiční dotace Ministerstva dopravy na podporu rozvoje činnosti veřejné výzkumné instituce v resortu dopravy.</w:t>
      </w:r>
    </w:p>
    <w:p w14:paraId="0C10810C" w14:textId="77777777" w:rsidR="00C732B9" w:rsidRPr="00C732B9" w:rsidRDefault="00C732B9" w:rsidP="00C732B9">
      <w:pPr>
        <w:spacing w:after="240" w:line="276" w:lineRule="auto"/>
        <w:ind w:right="157"/>
        <w:jc w:val="both"/>
        <w:rPr>
          <w:rFonts w:asciiTheme="minorHAnsi" w:hAnsiTheme="minorHAnsi" w:cstheme="minorHAnsi"/>
          <w:b/>
          <w:bCs/>
          <w:iCs/>
          <w:sz w:val="28"/>
          <w:szCs w:val="28"/>
        </w:rPr>
      </w:pPr>
      <w:r w:rsidRPr="00C732B9">
        <w:rPr>
          <w:rFonts w:asciiTheme="minorHAnsi" w:hAnsiTheme="minorHAnsi" w:cstheme="minorHAnsi"/>
          <w:b/>
          <w:bCs/>
          <w:iCs/>
          <w:sz w:val="28"/>
          <w:szCs w:val="28"/>
        </w:rPr>
        <w:t xml:space="preserve">Zdroje </w:t>
      </w:r>
    </w:p>
    <w:p w14:paraId="70335FAE" w14:textId="0DC7CA81" w:rsidR="00C732B9" w:rsidRPr="00C732B9" w:rsidRDefault="00C732B9" w:rsidP="00C732B9">
      <w:pPr>
        <w:pStyle w:val="Odstavecseseznamem"/>
        <w:numPr>
          <w:ilvl w:val="0"/>
          <w:numId w:val="15"/>
        </w:numPr>
        <w:spacing w:after="240" w:line="276" w:lineRule="auto"/>
        <w:ind w:right="157"/>
        <w:jc w:val="both"/>
        <w:rPr>
          <w:rFonts w:cstheme="minorHAnsi"/>
          <w:iCs/>
          <w:sz w:val="22"/>
          <w:szCs w:val="22"/>
        </w:rPr>
      </w:pPr>
      <w:r w:rsidRPr="00C732B9">
        <w:rPr>
          <w:rFonts w:cstheme="minorHAnsi"/>
          <w:iCs/>
          <w:sz w:val="22"/>
          <w:szCs w:val="22"/>
        </w:rPr>
        <w:t>Centrum dopravního výzkumu, v. v. i. (2026). Kalkulačka emisí kombinované přepravy. Kombinovaná přeprava. https://www.kombinovanapreprava.cz/kalkulacka/</w:t>
      </w:r>
    </w:p>
    <w:p w14:paraId="7DEA8A7F" w14:textId="39B10D01" w:rsidR="00C732B9" w:rsidRPr="00C732B9" w:rsidRDefault="00C732B9" w:rsidP="00C732B9">
      <w:pPr>
        <w:pStyle w:val="Odstavecseseznamem"/>
        <w:numPr>
          <w:ilvl w:val="0"/>
          <w:numId w:val="15"/>
        </w:numPr>
        <w:spacing w:after="240" w:line="276" w:lineRule="auto"/>
        <w:ind w:right="157"/>
        <w:jc w:val="both"/>
        <w:rPr>
          <w:rFonts w:cstheme="minorHAnsi"/>
          <w:iCs/>
          <w:sz w:val="22"/>
          <w:szCs w:val="22"/>
        </w:rPr>
      </w:pPr>
      <w:r w:rsidRPr="00C732B9">
        <w:rPr>
          <w:rFonts w:cstheme="minorHAnsi"/>
          <w:iCs/>
          <w:sz w:val="22"/>
          <w:szCs w:val="22"/>
        </w:rPr>
        <w:t>EMISIA. COPERT Data [online]. [cit. 2026-09-07]. Dostupné z: https://copert.emisia.com/copert-data/</w:t>
      </w:r>
    </w:p>
    <w:p w14:paraId="29D026BF" w14:textId="1C40EDC2" w:rsidR="00C732B9" w:rsidRPr="00C732B9" w:rsidRDefault="00C732B9" w:rsidP="00C732B9">
      <w:pPr>
        <w:pStyle w:val="Odstavecseseznamem"/>
        <w:numPr>
          <w:ilvl w:val="0"/>
          <w:numId w:val="15"/>
        </w:numPr>
        <w:spacing w:after="240" w:line="276" w:lineRule="auto"/>
        <w:ind w:right="157"/>
        <w:jc w:val="both"/>
        <w:rPr>
          <w:rFonts w:cstheme="minorHAnsi"/>
          <w:iCs/>
          <w:sz w:val="22"/>
          <w:szCs w:val="22"/>
        </w:rPr>
      </w:pPr>
      <w:r w:rsidRPr="00C732B9">
        <w:rPr>
          <w:rFonts w:cstheme="minorHAnsi"/>
          <w:iCs/>
          <w:sz w:val="22"/>
          <w:szCs w:val="22"/>
        </w:rPr>
        <w:t>Evropský parlament a Rada Evropské unie. (2026). Nařízení Evropského parlamentu a Rady (EU) 2026/1030 o započítávání emisí skleníkových plynů z dopravních služeb. Úřední věstník Evropské unie. https://eur-lex.europa.eu/legal-content/cs/ALL/?uri=CELEX:32026R1030</w:t>
      </w:r>
    </w:p>
    <w:p w14:paraId="316B2390" w14:textId="77777777" w:rsidR="00C732B9" w:rsidRPr="00C732B9" w:rsidRDefault="00C732B9" w:rsidP="00C732B9">
      <w:pPr>
        <w:spacing w:after="240" w:line="276" w:lineRule="auto"/>
        <w:ind w:right="157"/>
        <w:jc w:val="both"/>
        <w:rPr>
          <w:rFonts w:asciiTheme="minorHAnsi" w:hAnsiTheme="minorHAnsi" w:cstheme="minorHAnsi"/>
          <w:b/>
          <w:bCs/>
          <w:iCs/>
          <w:sz w:val="28"/>
          <w:szCs w:val="28"/>
        </w:rPr>
      </w:pPr>
      <w:r w:rsidRPr="00C732B9">
        <w:rPr>
          <w:rFonts w:asciiTheme="minorHAnsi" w:hAnsiTheme="minorHAnsi" w:cstheme="minorHAnsi"/>
          <w:b/>
          <w:bCs/>
          <w:iCs/>
          <w:sz w:val="28"/>
          <w:szCs w:val="28"/>
        </w:rPr>
        <w:t xml:space="preserve">Kontakty </w:t>
      </w:r>
    </w:p>
    <w:p w14:paraId="76400B4C" w14:textId="46A2459C" w:rsidR="00C732B9" w:rsidRPr="00C732B9" w:rsidRDefault="00C732B9" w:rsidP="00C732B9">
      <w:pPr>
        <w:pStyle w:val="Odstavecseseznamem"/>
        <w:numPr>
          <w:ilvl w:val="0"/>
          <w:numId w:val="13"/>
        </w:numPr>
        <w:spacing w:after="240" w:line="276" w:lineRule="auto"/>
        <w:ind w:right="157"/>
        <w:jc w:val="both"/>
        <w:rPr>
          <w:rFonts w:cstheme="minorHAnsi"/>
          <w:iCs/>
          <w:sz w:val="22"/>
          <w:szCs w:val="22"/>
        </w:rPr>
      </w:pPr>
      <w:r w:rsidRPr="00C732B9">
        <w:rPr>
          <w:rFonts w:cstheme="minorHAnsi"/>
          <w:iCs/>
          <w:sz w:val="22"/>
          <w:szCs w:val="22"/>
        </w:rPr>
        <w:t xml:space="preserve">Ing. Bc. Libor Krejčí, Ph.D. </w:t>
      </w:r>
    </w:p>
    <w:p w14:paraId="7A790AFC" w14:textId="1697DA18" w:rsidR="00C732B9" w:rsidRPr="00C732B9" w:rsidRDefault="00C732B9" w:rsidP="00486D96">
      <w:pPr>
        <w:pStyle w:val="Odstavecseseznamem"/>
        <w:numPr>
          <w:ilvl w:val="0"/>
          <w:numId w:val="13"/>
        </w:numPr>
        <w:spacing w:after="240" w:line="276" w:lineRule="auto"/>
        <w:ind w:right="157"/>
        <w:jc w:val="both"/>
        <w:rPr>
          <w:rFonts w:cstheme="minorHAnsi"/>
          <w:iCs/>
          <w:sz w:val="22"/>
          <w:szCs w:val="22"/>
        </w:rPr>
      </w:pPr>
      <w:r w:rsidRPr="00C732B9">
        <w:rPr>
          <w:rFonts w:cstheme="minorHAnsi"/>
          <w:iCs/>
          <w:sz w:val="22"/>
          <w:szCs w:val="22"/>
        </w:rPr>
        <w:t xml:space="preserve">+420 602 568 381, e-mail: libor.krejci@cdv.gov.cz </w:t>
      </w:r>
    </w:p>
    <w:sectPr w:rsidR="00C732B9" w:rsidRPr="00C732B9" w:rsidSect="00C732B9">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2268"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45217" w14:textId="77777777" w:rsidR="00566AB2" w:rsidRDefault="00566AB2" w:rsidP="005B310B">
      <w:r>
        <w:separator/>
      </w:r>
    </w:p>
  </w:endnote>
  <w:endnote w:type="continuationSeparator" w:id="0">
    <w:p w14:paraId="1722C614" w14:textId="77777777" w:rsidR="00566AB2" w:rsidRDefault="00566AB2" w:rsidP="005B310B">
      <w:r>
        <w:continuationSeparator/>
      </w:r>
    </w:p>
  </w:endnote>
  <w:endnote w:type="continuationNotice" w:id="1">
    <w:p w14:paraId="57E9467C" w14:textId="77777777" w:rsidR="00566AB2" w:rsidRDefault="00566A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65B7" w14:textId="77777777" w:rsidR="00C732B9" w:rsidRDefault="00C732B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818022"/>
      <w:docPartObj>
        <w:docPartGallery w:val="Page Numbers (Bottom of Page)"/>
        <w:docPartUnique/>
      </w:docPartObj>
    </w:sdtPr>
    <w:sdtEndPr/>
    <w:sdtContent>
      <w:sdt>
        <w:sdtPr>
          <w:id w:val="1728636285"/>
          <w:docPartObj>
            <w:docPartGallery w:val="Page Numbers (Top of Page)"/>
            <w:docPartUnique/>
          </w:docPartObj>
        </w:sdtPr>
        <w:sdtEndPr/>
        <w:sdtContent>
          <w:p w14:paraId="0EB78FA1" w14:textId="77777777" w:rsidR="00904CC1" w:rsidRDefault="00EB78B7">
            <w:pPr>
              <w:pStyle w:val="Zpat"/>
              <w:jc w:val="center"/>
            </w:pPr>
            <w:r>
              <w:rPr>
                <w:noProof/>
              </w:rPr>
              <w:drawing>
                <wp:anchor distT="0" distB="0" distL="114300" distR="114300" simplePos="0" relativeHeight="251663360" behindDoc="0" locked="0" layoutInCell="1" allowOverlap="1" wp14:anchorId="1A2FF4C6" wp14:editId="3CCE10BE">
                  <wp:simplePos x="0" y="0"/>
                  <wp:positionH relativeFrom="margin">
                    <wp:posOffset>-713605</wp:posOffset>
                  </wp:positionH>
                  <wp:positionV relativeFrom="paragraph">
                    <wp:posOffset>-13632</wp:posOffset>
                  </wp:positionV>
                  <wp:extent cx="7556500" cy="941230"/>
                  <wp:effectExtent l="0" t="0" r="0" b="0"/>
                  <wp:wrapNone/>
                  <wp:docPr id="359196336" name="Obrázek 359196336" descr="Obsah obrázku text, monitor, televizor, obrazov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descr="Obsah obrázku text, monitor, televizor, obrazovka&#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7595701" cy="946113"/>
                          </a:xfrm>
                          <a:prstGeom prst="rect">
                            <a:avLst/>
                          </a:prstGeom>
                        </pic:spPr>
                      </pic:pic>
                    </a:graphicData>
                  </a:graphic>
                  <wp14:sizeRelH relativeFrom="margin">
                    <wp14:pctWidth>0</wp14:pctWidth>
                  </wp14:sizeRelH>
                  <wp14:sizeRelV relativeFrom="margin">
                    <wp14:pctHeight>0</wp14:pctHeight>
                  </wp14:sizeRelV>
                </wp:anchor>
              </w:drawing>
            </w:r>
            <w:r w:rsidR="00904CC1">
              <w:t xml:space="preserve">Stránka </w:t>
            </w:r>
            <w:r w:rsidR="00904CC1">
              <w:rPr>
                <w:b/>
                <w:bCs/>
              </w:rPr>
              <w:fldChar w:fldCharType="begin"/>
            </w:r>
            <w:r w:rsidR="00904CC1">
              <w:rPr>
                <w:b/>
                <w:bCs/>
              </w:rPr>
              <w:instrText>PAGE</w:instrText>
            </w:r>
            <w:r w:rsidR="00904CC1">
              <w:rPr>
                <w:b/>
                <w:bCs/>
              </w:rPr>
              <w:fldChar w:fldCharType="separate"/>
            </w:r>
            <w:r w:rsidR="00904CC1">
              <w:rPr>
                <w:b/>
                <w:bCs/>
              </w:rPr>
              <w:t>2</w:t>
            </w:r>
            <w:r w:rsidR="00904CC1">
              <w:rPr>
                <w:b/>
                <w:bCs/>
              </w:rPr>
              <w:fldChar w:fldCharType="end"/>
            </w:r>
            <w:r w:rsidR="00904CC1">
              <w:t xml:space="preserve"> z </w:t>
            </w:r>
            <w:r w:rsidR="00904CC1">
              <w:rPr>
                <w:b/>
                <w:bCs/>
              </w:rPr>
              <w:fldChar w:fldCharType="begin"/>
            </w:r>
            <w:r w:rsidR="00904CC1">
              <w:rPr>
                <w:b/>
                <w:bCs/>
              </w:rPr>
              <w:instrText>NUMPAGES</w:instrText>
            </w:r>
            <w:r w:rsidR="00904CC1">
              <w:rPr>
                <w:b/>
                <w:bCs/>
              </w:rPr>
              <w:fldChar w:fldCharType="separate"/>
            </w:r>
            <w:r w:rsidR="00904CC1">
              <w:rPr>
                <w:b/>
                <w:bCs/>
              </w:rPr>
              <w:t>2</w:t>
            </w:r>
            <w:r w:rsidR="00904CC1">
              <w:rPr>
                <w:b/>
                <w:bCs/>
              </w:rPr>
              <w:fldChar w:fldCharType="end"/>
            </w:r>
          </w:p>
        </w:sdtContent>
      </w:sdt>
    </w:sdtContent>
  </w:sdt>
  <w:p w14:paraId="330DBC7A" w14:textId="77777777" w:rsidR="00357AB6" w:rsidRPr="00132FC6" w:rsidRDefault="00357AB6" w:rsidP="003F22A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D6929" w14:textId="77777777" w:rsidR="00C732B9" w:rsidRDefault="00C732B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1AF0E" w14:textId="77777777" w:rsidR="00566AB2" w:rsidRDefault="00566AB2" w:rsidP="005B310B">
      <w:r>
        <w:separator/>
      </w:r>
    </w:p>
  </w:footnote>
  <w:footnote w:type="continuationSeparator" w:id="0">
    <w:p w14:paraId="122B607F" w14:textId="77777777" w:rsidR="00566AB2" w:rsidRDefault="00566AB2" w:rsidP="005B310B">
      <w:r>
        <w:continuationSeparator/>
      </w:r>
    </w:p>
  </w:footnote>
  <w:footnote w:type="continuationNotice" w:id="1">
    <w:p w14:paraId="13D4B94C" w14:textId="77777777" w:rsidR="00566AB2" w:rsidRDefault="00566A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A6A0B" w14:textId="77777777" w:rsidR="00C732B9" w:rsidRDefault="00C732B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96AE" w14:textId="77777777" w:rsidR="005B310B" w:rsidRPr="005B310B" w:rsidRDefault="00AB0680" w:rsidP="005B310B">
    <w:pPr>
      <w:pStyle w:val="Zhlav"/>
    </w:pPr>
    <w:r>
      <w:rPr>
        <w:noProof/>
      </w:rPr>
      <w:drawing>
        <wp:anchor distT="0" distB="0" distL="114300" distR="114300" simplePos="0" relativeHeight="251657216" behindDoc="0" locked="0" layoutInCell="1" allowOverlap="1" wp14:anchorId="5CBC3A09" wp14:editId="6BEB3799">
          <wp:simplePos x="0" y="0"/>
          <wp:positionH relativeFrom="page">
            <wp:posOffset>0</wp:posOffset>
          </wp:positionH>
          <wp:positionV relativeFrom="page">
            <wp:posOffset>133350</wp:posOffset>
          </wp:positionV>
          <wp:extent cx="6362700" cy="1080770"/>
          <wp:effectExtent l="0" t="0" r="0" b="0"/>
          <wp:wrapNone/>
          <wp:docPr id="1514350991" name="Obrázek 1514350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rotWithShape="1">
                  <a:blip r:embed="rId1">
                    <a:extLst>
                      <a:ext uri="{28A0092B-C50C-407E-A947-70E740481C1C}">
                        <a14:useLocalDpi xmlns:a14="http://schemas.microsoft.com/office/drawing/2010/main" val="0"/>
                      </a:ext>
                    </a:extLst>
                  </a:blip>
                  <a:srcRect r="15798"/>
                  <a:stretch>
                    <a:fillRect/>
                  </a:stretch>
                </pic:blipFill>
                <pic:spPr bwMode="auto">
                  <a:xfrm>
                    <a:off x="0" y="0"/>
                    <a:ext cx="6362700" cy="1080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77C57" w14:textId="77777777" w:rsidR="00C732B9" w:rsidRDefault="00C732B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50A5E"/>
    <w:multiLevelType w:val="hybridMultilevel"/>
    <w:tmpl w:val="E52EACFE"/>
    <w:lvl w:ilvl="0" w:tplc="4A2623CE">
      <w:start w:val="26"/>
      <w:numFmt w:val="bullet"/>
      <w:lvlText w:val="-"/>
      <w:lvlJc w:val="left"/>
      <w:pPr>
        <w:ind w:left="76" w:hanging="360"/>
      </w:pPr>
      <w:rPr>
        <w:rFonts w:ascii="Calibri" w:eastAsia="Times New Roman" w:hAnsi="Calibri" w:cs="Calibri" w:hint="default"/>
      </w:rPr>
    </w:lvl>
    <w:lvl w:ilvl="1" w:tplc="04050003" w:tentative="1">
      <w:start w:val="1"/>
      <w:numFmt w:val="bullet"/>
      <w:lvlText w:val="o"/>
      <w:lvlJc w:val="left"/>
      <w:pPr>
        <w:ind w:left="796" w:hanging="360"/>
      </w:pPr>
      <w:rPr>
        <w:rFonts w:ascii="Courier New" w:hAnsi="Courier New" w:cs="Courier New" w:hint="default"/>
      </w:rPr>
    </w:lvl>
    <w:lvl w:ilvl="2" w:tplc="04050005" w:tentative="1">
      <w:start w:val="1"/>
      <w:numFmt w:val="bullet"/>
      <w:lvlText w:val=""/>
      <w:lvlJc w:val="left"/>
      <w:pPr>
        <w:ind w:left="1516" w:hanging="360"/>
      </w:pPr>
      <w:rPr>
        <w:rFonts w:ascii="Wingdings" w:hAnsi="Wingdings" w:hint="default"/>
      </w:rPr>
    </w:lvl>
    <w:lvl w:ilvl="3" w:tplc="04050001" w:tentative="1">
      <w:start w:val="1"/>
      <w:numFmt w:val="bullet"/>
      <w:lvlText w:val=""/>
      <w:lvlJc w:val="left"/>
      <w:pPr>
        <w:ind w:left="2236" w:hanging="360"/>
      </w:pPr>
      <w:rPr>
        <w:rFonts w:ascii="Symbol" w:hAnsi="Symbol" w:hint="default"/>
      </w:rPr>
    </w:lvl>
    <w:lvl w:ilvl="4" w:tplc="04050003" w:tentative="1">
      <w:start w:val="1"/>
      <w:numFmt w:val="bullet"/>
      <w:lvlText w:val="o"/>
      <w:lvlJc w:val="left"/>
      <w:pPr>
        <w:ind w:left="2956" w:hanging="360"/>
      </w:pPr>
      <w:rPr>
        <w:rFonts w:ascii="Courier New" w:hAnsi="Courier New" w:cs="Courier New" w:hint="default"/>
      </w:rPr>
    </w:lvl>
    <w:lvl w:ilvl="5" w:tplc="04050005" w:tentative="1">
      <w:start w:val="1"/>
      <w:numFmt w:val="bullet"/>
      <w:lvlText w:val=""/>
      <w:lvlJc w:val="left"/>
      <w:pPr>
        <w:ind w:left="3676" w:hanging="360"/>
      </w:pPr>
      <w:rPr>
        <w:rFonts w:ascii="Wingdings" w:hAnsi="Wingdings" w:hint="default"/>
      </w:rPr>
    </w:lvl>
    <w:lvl w:ilvl="6" w:tplc="04050001" w:tentative="1">
      <w:start w:val="1"/>
      <w:numFmt w:val="bullet"/>
      <w:lvlText w:val=""/>
      <w:lvlJc w:val="left"/>
      <w:pPr>
        <w:ind w:left="4396" w:hanging="360"/>
      </w:pPr>
      <w:rPr>
        <w:rFonts w:ascii="Symbol" w:hAnsi="Symbol" w:hint="default"/>
      </w:rPr>
    </w:lvl>
    <w:lvl w:ilvl="7" w:tplc="04050003" w:tentative="1">
      <w:start w:val="1"/>
      <w:numFmt w:val="bullet"/>
      <w:lvlText w:val="o"/>
      <w:lvlJc w:val="left"/>
      <w:pPr>
        <w:ind w:left="5116" w:hanging="360"/>
      </w:pPr>
      <w:rPr>
        <w:rFonts w:ascii="Courier New" w:hAnsi="Courier New" w:cs="Courier New" w:hint="default"/>
      </w:rPr>
    </w:lvl>
    <w:lvl w:ilvl="8" w:tplc="04050005" w:tentative="1">
      <w:start w:val="1"/>
      <w:numFmt w:val="bullet"/>
      <w:lvlText w:val=""/>
      <w:lvlJc w:val="left"/>
      <w:pPr>
        <w:ind w:left="5836" w:hanging="360"/>
      </w:pPr>
      <w:rPr>
        <w:rFonts w:ascii="Wingdings" w:hAnsi="Wingdings" w:hint="default"/>
      </w:rPr>
    </w:lvl>
  </w:abstractNum>
  <w:abstractNum w:abstractNumId="1" w15:restartNumberingAfterBreak="0">
    <w:nsid w:val="1B6F3003"/>
    <w:multiLevelType w:val="hybridMultilevel"/>
    <w:tmpl w:val="5252A3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ED31119"/>
    <w:multiLevelType w:val="hybridMultilevel"/>
    <w:tmpl w:val="6394AA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0FE3D73"/>
    <w:multiLevelType w:val="hybridMultilevel"/>
    <w:tmpl w:val="F4949882"/>
    <w:lvl w:ilvl="0" w:tplc="A322B90E">
      <w:start w:val="18"/>
      <w:numFmt w:val="bullet"/>
      <w:lvlText w:val="-"/>
      <w:lvlJc w:val="left"/>
      <w:pPr>
        <w:ind w:left="76" w:hanging="360"/>
      </w:pPr>
      <w:rPr>
        <w:rFonts w:ascii="Calibri" w:eastAsia="Times New Roman" w:hAnsi="Calibri" w:cs="Calibri" w:hint="default"/>
      </w:rPr>
    </w:lvl>
    <w:lvl w:ilvl="1" w:tplc="04050003" w:tentative="1">
      <w:start w:val="1"/>
      <w:numFmt w:val="bullet"/>
      <w:lvlText w:val="o"/>
      <w:lvlJc w:val="left"/>
      <w:pPr>
        <w:ind w:left="796" w:hanging="360"/>
      </w:pPr>
      <w:rPr>
        <w:rFonts w:ascii="Courier New" w:hAnsi="Courier New" w:cs="Courier New" w:hint="default"/>
      </w:rPr>
    </w:lvl>
    <w:lvl w:ilvl="2" w:tplc="04050005" w:tentative="1">
      <w:start w:val="1"/>
      <w:numFmt w:val="bullet"/>
      <w:lvlText w:val=""/>
      <w:lvlJc w:val="left"/>
      <w:pPr>
        <w:ind w:left="1516" w:hanging="360"/>
      </w:pPr>
      <w:rPr>
        <w:rFonts w:ascii="Wingdings" w:hAnsi="Wingdings" w:hint="default"/>
      </w:rPr>
    </w:lvl>
    <w:lvl w:ilvl="3" w:tplc="04050001" w:tentative="1">
      <w:start w:val="1"/>
      <w:numFmt w:val="bullet"/>
      <w:lvlText w:val=""/>
      <w:lvlJc w:val="left"/>
      <w:pPr>
        <w:ind w:left="2236" w:hanging="360"/>
      </w:pPr>
      <w:rPr>
        <w:rFonts w:ascii="Symbol" w:hAnsi="Symbol" w:hint="default"/>
      </w:rPr>
    </w:lvl>
    <w:lvl w:ilvl="4" w:tplc="04050003" w:tentative="1">
      <w:start w:val="1"/>
      <w:numFmt w:val="bullet"/>
      <w:lvlText w:val="o"/>
      <w:lvlJc w:val="left"/>
      <w:pPr>
        <w:ind w:left="2956" w:hanging="360"/>
      </w:pPr>
      <w:rPr>
        <w:rFonts w:ascii="Courier New" w:hAnsi="Courier New" w:cs="Courier New" w:hint="default"/>
      </w:rPr>
    </w:lvl>
    <w:lvl w:ilvl="5" w:tplc="04050005" w:tentative="1">
      <w:start w:val="1"/>
      <w:numFmt w:val="bullet"/>
      <w:lvlText w:val=""/>
      <w:lvlJc w:val="left"/>
      <w:pPr>
        <w:ind w:left="3676" w:hanging="360"/>
      </w:pPr>
      <w:rPr>
        <w:rFonts w:ascii="Wingdings" w:hAnsi="Wingdings" w:hint="default"/>
      </w:rPr>
    </w:lvl>
    <w:lvl w:ilvl="6" w:tplc="04050001" w:tentative="1">
      <w:start w:val="1"/>
      <w:numFmt w:val="bullet"/>
      <w:lvlText w:val=""/>
      <w:lvlJc w:val="left"/>
      <w:pPr>
        <w:ind w:left="4396" w:hanging="360"/>
      </w:pPr>
      <w:rPr>
        <w:rFonts w:ascii="Symbol" w:hAnsi="Symbol" w:hint="default"/>
      </w:rPr>
    </w:lvl>
    <w:lvl w:ilvl="7" w:tplc="04050003" w:tentative="1">
      <w:start w:val="1"/>
      <w:numFmt w:val="bullet"/>
      <w:lvlText w:val="o"/>
      <w:lvlJc w:val="left"/>
      <w:pPr>
        <w:ind w:left="5116" w:hanging="360"/>
      </w:pPr>
      <w:rPr>
        <w:rFonts w:ascii="Courier New" w:hAnsi="Courier New" w:cs="Courier New" w:hint="default"/>
      </w:rPr>
    </w:lvl>
    <w:lvl w:ilvl="8" w:tplc="04050005" w:tentative="1">
      <w:start w:val="1"/>
      <w:numFmt w:val="bullet"/>
      <w:lvlText w:val=""/>
      <w:lvlJc w:val="left"/>
      <w:pPr>
        <w:ind w:left="5836" w:hanging="360"/>
      </w:pPr>
      <w:rPr>
        <w:rFonts w:ascii="Wingdings" w:hAnsi="Wingdings" w:hint="default"/>
      </w:rPr>
    </w:lvl>
  </w:abstractNum>
  <w:abstractNum w:abstractNumId="4" w15:restartNumberingAfterBreak="0">
    <w:nsid w:val="45173EE2"/>
    <w:multiLevelType w:val="hybridMultilevel"/>
    <w:tmpl w:val="7B8AF75E"/>
    <w:lvl w:ilvl="0" w:tplc="75721D5A">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6AD2FF5"/>
    <w:multiLevelType w:val="hybridMultilevel"/>
    <w:tmpl w:val="318E92F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0673D4E"/>
    <w:multiLevelType w:val="hybridMultilevel"/>
    <w:tmpl w:val="3962D41A"/>
    <w:lvl w:ilvl="0" w:tplc="04050001">
      <w:start w:val="1"/>
      <w:numFmt w:val="bullet"/>
      <w:lvlText w:val=""/>
      <w:lvlJc w:val="left"/>
      <w:pPr>
        <w:ind w:left="436" w:hanging="360"/>
      </w:pPr>
      <w:rPr>
        <w:rFonts w:ascii="Symbol" w:hAnsi="Symbol" w:hint="default"/>
      </w:rPr>
    </w:lvl>
    <w:lvl w:ilvl="1" w:tplc="04050003" w:tentative="1">
      <w:start w:val="1"/>
      <w:numFmt w:val="bullet"/>
      <w:lvlText w:val="o"/>
      <w:lvlJc w:val="left"/>
      <w:pPr>
        <w:ind w:left="1156" w:hanging="360"/>
      </w:pPr>
      <w:rPr>
        <w:rFonts w:ascii="Courier New" w:hAnsi="Courier New" w:cs="Courier New" w:hint="default"/>
      </w:rPr>
    </w:lvl>
    <w:lvl w:ilvl="2" w:tplc="04050005" w:tentative="1">
      <w:start w:val="1"/>
      <w:numFmt w:val="bullet"/>
      <w:lvlText w:val=""/>
      <w:lvlJc w:val="left"/>
      <w:pPr>
        <w:ind w:left="1876" w:hanging="360"/>
      </w:pPr>
      <w:rPr>
        <w:rFonts w:ascii="Wingdings" w:hAnsi="Wingdings" w:hint="default"/>
      </w:rPr>
    </w:lvl>
    <w:lvl w:ilvl="3" w:tplc="04050001" w:tentative="1">
      <w:start w:val="1"/>
      <w:numFmt w:val="bullet"/>
      <w:lvlText w:val=""/>
      <w:lvlJc w:val="left"/>
      <w:pPr>
        <w:ind w:left="2596" w:hanging="360"/>
      </w:pPr>
      <w:rPr>
        <w:rFonts w:ascii="Symbol" w:hAnsi="Symbol" w:hint="default"/>
      </w:rPr>
    </w:lvl>
    <w:lvl w:ilvl="4" w:tplc="04050003" w:tentative="1">
      <w:start w:val="1"/>
      <w:numFmt w:val="bullet"/>
      <w:lvlText w:val="o"/>
      <w:lvlJc w:val="left"/>
      <w:pPr>
        <w:ind w:left="3316" w:hanging="360"/>
      </w:pPr>
      <w:rPr>
        <w:rFonts w:ascii="Courier New" w:hAnsi="Courier New" w:cs="Courier New" w:hint="default"/>
      </w:rPr>
    </w:lvl>
    <w:lvl w:ilvl="5" w:tplc="04050005" w:tentative="1">
      <w:start w:val="1"/>
      <w:numFmt w:val="bullet"/>
      <w:lvlText w:val=""/>
      <w:lvlJc w:val="left"/>
      <w:pPr>
        <w:ind w:left="4036" w:hanging="360"/>
      </w:pPr>
      <w:rPr>
        <w:rFonts w:ascii="Wingdings" w:hAnsi="Wingdings" w:hint="default"/>
      </w:rPr>
    </w:lvl>
    <w:lvl w:ilvl="6" w:tplc="04050001" w:tentative="1">
      <w:start w:val="1"/>
      <w:numFmt w:val="bullet"/>
      <w:lvlText w:val=""/>
      <w:lvlJc w:val="left"/>
      <w:pPr>
        <w:ind w:left="4756" w:hanging="360"/>
      </w:pPr>
      <w:rPr>
        <w:rFonts w:ascii="Symbol" w:hAnsi="Symbol" w:hint="default"/>
      </w:rPr>
    </w:lvl>
    <w:lvl w:ilvl="7" w:tplc="04050003" w:tentative="1">
      <w:start w:val="1"/>
      <w:numFmt w:val="bullet"/>
      <w:lvlText w:val="o"/>
      <w:lvlJc w:val="left"/>
      <w:pPr>
        <w:ind w:left="5476" w:hanging="360"/>
      </w:pPr>
      <w:rPr>
        <w:rFonts w:ascii="Courier New" w:hAnsi="Courier New" w:cs="Courier New" w:hint="default"/>
      </w:rPr>
    </w:lvl>
    <w:lvl w:ilvl="8" w:tplc="04050005" w:tentative="1">
      <w:start w:val="1"/>
      <w:numFmt w:val="bullet"/>
      <w:lvlText w:val=""/>
      <w:lvlJc w:val="left"/>
      <w:pPr>
        <w:ind w:left="6196" w:hanging="360"/>
      </w:pPr>
      <w:rPr>
        <w:rFonts w:ascii="Wingdings" w:hAnsi="Wingdings" w:hint="default"/>
      </w:rPr>
    </w:lvl>
  </w:abstractNum>
  <w:abstractNum w:abstractNumId="7" w15:restartNumberingAfterBreak="0">
    <w:nsid w:val="5BCE438F"/>
    <w:multiLevelType w:val="hybridMultilevel"/>
    <w:tmpl w:val="F72263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C3C33B1"/>
    <w:multiLevelType w:val="hybridMultilevel"/>
    <w:tmpl w:val="4C5CCADA"/>
    <w:lvl w:ilvl="0" w:tplc="0E646AEC">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61F1132F"/>
    <w:multiLevelType w:val="hybridMultilevel"/>
    <w:tmpl w:val="DEEEE198"/>
    <w:lvl w:ilvl="0" w:tplc="CA303104">
      <w:numFmt w:val="bullet"/>
      <w:lvlText w:val="•"/>
      <w:lvlJc w:val="left"/>
      <w:pPr>
        <w:ind w:left="1095" w:hanging="735"/>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63045680"/>
    <w:multiLevelType w:val="hybridMultilevel"/>
    <w:tmpl w:val="8D1A9AE2"/>
    <w:lvl w:ilvl="0" w:tplc="CA303104">
      <w:numFmt w:val="bullet"/>
      <w:lvlText w:val="•"/>
      <w:lvlJc w:val="left"/>
      <w:pPr>
        <w:ind w:left="1095" w:hanging="735"/>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46B33B9"/>
    <w:multiLevelType w:val="hybridMultilevel"/>
    <w:tmpl w:val="1E4E072E"/>
    <w:lvl w:ilvl="0" w:tplc="CA303104">
      <w:numFmt w:val="bullet"/>
      <w:lvlText w:val="•"/>
      <w:lvlJc w:val="left"/>
      <w:pPr>
        <w:ind w:left="1095" w:hanging="735"/>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6A80704B"/>
    <w:multiLevelType w:val="hybridMultilevel"/>
    <w:tmpl w:val="9E662548"/>
    <w:lvl w:ilvl="0" w:tplc="0405000B">
      <w:start w:val="1"/>
      <w:numFmt w:val="bullet"/>
      <w:lvlText w:val=""/>
      <w:lvlJc w:val="left"/>
      <w:pPr>
        <w:ind w:left="436" w:hanging="360"/>
      </w:pPr>
      <w:rPr>
        <w:rFonts w:ascii="Wingdings" w:hAnsi="Wingdings" w:hint="default"/>
      </w:rPr>
    </w:lvl>
    <w:lvl w:ilvl="1" w:tplc="04050003" w:tentative="1">
      <w:start w:val="1"/>
      <w:numFmt w:val="bullet"/>
      <w:lvlText w:val="o"/>
      <w:lvlJc w:val="left"/>
      <w:pPr>
        <w:ind w:left="1156" w:hanging="360"/>
      </w:pPr>
      <w:rPr>
        <w:rFonts w:ascii="Courier New" w:hAnsi="Courier New" w:cs="Courier New" w:hint="default"/>
      </w:rPr>
    </w:lvl>
    <w:lvl w:ilvl="2" w:tplc="04050005" w:tentative="1">
      <w:start w:val="1"/>
      <w:numFmt w:val="bullet"/>
      <w:lvlText w:val=""/>
      <w:lvlJc w:val="left"/>
      <w:pPr>
        <w:ind w:left="1876" w:hanging="360"/>
      </w:pPr>
      <w:rPr>
        <w:rFonts w:ascii="Wingdings" w:hAnsi="Wingdings" w:hint="default"/>
      </w:rPr>
    </w:lvl>
    <w:lvl w:ilvl="3" w:tplc="04050001" w:tentative="1">
      <w:start w:val="1"/>
      <w:numFmt w:val="bullet"/>
      <w:lvlText w:val=""/>
      <w:lvlJc w:val="left"/>
      <w:pPr>
        <w:ind w:left="2596" w:hanging="360"/>
      </w:pPr>
      <w:rPr>
        <w:rFonts w:ascii="Symbol" w:hAnsi="Symbol" w:hint="default"/>
      </w:rPr>
    </w:lvl>
    <w:lvl w:ilvl="4" w:tplc="04050003" w:tentative="1">
      <w:start w:val="1"/>
      <w:numFmt w:val="bullet"/>
      <w:lvlText w:val="o"/>
      <w:lvlJc w:val="left"/>
      <w:pPr>
        <w:ind w:left="3316" w:hanging="360"/>
      </w:pPr>
      <w:rPr>
        <w:rFonts w:ascii="Courier New" w:hAnsi="Courier New" w:cs="Courier New" w:hint="default"/>
      </w:rPr>
    </w:lvl>
    <w:lvl w:ilvl="5" w:tplc="04050005" w:tentative="1">
      <w:start w:val="1"/>
      <w:numFmt w:val="bullet"/>
      <w:lvlText w:val=""/>
      <w:lvlJc w:val="left"/>
      <w:pPr>
        <w:ind w:left="4036" w:hanging="360"/>
      </w:pPr>
      <w:rPr>
        <w:rFonts w:ascii="Wingdings" w:hAnsi="Wingdings" w:hint="default"/>
      </w:rPr>
    </w:lvl>
    <w:lvl w:ilvl="6" w:tplc="04050001" w:tentative="1">
      <w:start w:val="1"/>
      <w:numFmt w:val="bullet"/>
      <w:lvlText w:val=""/>
      <w:lvlJc w:val="left"/>
      <w:pPr>
        <w:ind w:left="4756" w:hanging="360"/>
      </w:pPr>
      <w:rPr>
        <w:rFonts w:ascii="Symbol" w:hAnsi="Symbol" w:hint="default"/>
      </w:rPr>
    </w:lvl>
    <w:lvl w:ilvl="7" w:tplc="04050003" w:tentative="1">
      <w:start w:val="1"/>
      <w:numFmt w:val="bullet"/>
      <w:lvlText w:val="o"/>
      <w:lvlJc w:val="left"/>
      <w:pPr>
        <w:ind w:left="5476" w:hanging="360"/>
      </w:pPr>
      <w:rPr>
        <w:rFonts w:ascii="Courier New" w:hAnsi="Courier New" w:cs="Courier New" w:hint="default"/>
      </w:rPr>
    </w:lvl>
    <w:lvl w:ilvl="8" w:tplc="04050005" w:tentative="1">
      <w:start w:val="1"/>
      <w:numFmt w:val="bullet"/>
      <w:lvlText w:val=""/>
      <w:lvlJc w:val="left"/>
      <w:pPr>
        <w:ind w:left="6196" w:hanging="360"/>
      </w:pPr>
      <w:rPr>
        <w:rFonts w:ascii="Wingdings" w:hAnsi="Wingdings" w:hint="default"/>
      </w:rPr>
    </w:lvl>
  </w:abstractNum>
  <w:abstractNum w:abstractNumId="13" w15:restartNumberingAfterBreak="0">
    <w:nsid w:val="760C70A7"/>
    <w:multiLevelType w:val="hybridMultilevel"/>
    <w:tmpl w:val="FCACDFA4"/>
    <w:lvl w:ilvl="0" w:tplc="52D4F7E0">
      <w:start w:val="14"/>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F04192A"/>
    <w:multiLevelType w:val="hybridMultilevel"/>
    <w:tmpl w:val="A1A81538"/>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85943808">
    <w:abstractNumId w:val="14"/>
  </w:num>
  <w:num w:numId="2" w16cid:durableId="94139269">
    <w:abstractNumId w:val="4"/>
  </w:num>
  <w:num w:numId="3" w16cid:durableId="884949006">
    <w:abstractNumId w:val="1"/>
  </w:num>
  <w:num w:numId="4" w16cid:durableId="563108375">
    <w:abstractNumId w:val="0"/>
  </w:num>
  <w:num w:numId="5" w16cid:durableId="1107888010">
    <w:abstractNumId w:val="12"/>
  </w:num>
  <w:num w:numId="6" w16cid:durableId="25907670">
    <w:abstractNumId w:val="6"/>
  </w:num>
  <w:num w:numId="7" w16cid:durableId="1968731105">
    <w:abstractNumId w:val="3"/>
  </w:num>
  <w:num w:numId="8" w16cid:durableId="509610919">
    <w:abstractNumId w:val="13"/>
  </w:num>
  <w:num w:numId="9" w16cid:durableId="958150459">
    <w:abstractNumId w:val="8"/>
  </w:num>
  <w:num w:numId="10" w16cid:durableId="648830551">
    <w:abstractNumId w:val="5"/>
  </w:num>
  <w:num w:numId="11" w16cid:durableId="167210550">
    <w:abstractNumId w:val="7"/>
  </w:num>
  <w:num w:numId="12" w16cid:durableId="470487462">
    <w:abstractNumId w:val="2"/>
  </w:num>
  <w:num w:numId="13" w16cid:durableId="202595589">
    <w:abstractNumId w:val="9"/>
  </w:num>
  <w:num w:numId="14" w16cid:durableId="1132795770">
    <w:abstractNumId w:val="11"/>
  </w:num>
  <w:num w:numId="15" w16cid:durableId="1938581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3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8AD"/>
    <w:rsid w:val="0000127B"/>
    <w:rsid w:val="00002990"/>
    <w:rsid w:val="00004677"/>
    <w:rsid w:val="000055CE"/>
    <w:rsid w:val="000101B9"/>
    <w:rsid w:val="00011F2D"/>
    <w:rsid w:val="00014248"/>
    <w:rsid w:val="00014C9A"/>
    <w:rsid w:val="000167EB"/>
    <w:rsid w:val="000167FE"/>
    <w:rsid w:val="00020025"/>
    <w:rsid w:val="00021E30"/>
    <w:rsid w:val="00031D00"/>
    <w:rsid w:val="00033E56"/>
    <w:rsid w:val="0003618C"/>
    <w:rsid w:val="00042A1F"/>
    <w:rsid w:val="000474EA"/>
    <w:rsid w:val="00047CCE"/>
    <w:rsid w:val="00053A75"/>
    <w:rsid w:val="00054C08"/>
    <w:rsid w:val="00054F23"/>
    <w:rsid w:val="0006095F"/>
    <w:rsid w:val="00061AB0"/>
    <w:rsid w:val="00064D22"/>
    <w:rsid w:val="000675BD"/>
    <w:rsid w:val="00067A87"/>
    <w:rsid w:val="000706D1"/>
    <w:rsid w:val="000713CE"/>
    <w:rsid w:val="0007407E"/>
    <w:rsid w:val="00077A65"/>
    <w:rsid w:val="000803A3"/>
    <w:rsid w:val="00084370"/>
    <w:rsid w:val="00084494"/>
    <w:rsid w:val="00090CB7"/>
    <w:rsid w:val="000953F1"/>
    <w:rsid w:val="0009563E"/>
    <w:rsid w:val="000961E1"/>
    <w:rsid w:val="0009782C"/>
    <w:rsid w:val="000A1869"/>
    <w:rsid w:val="000A2434"/>
    <w:rsid w:val="000A436C"/>
    <w:rsid w:val="000A5C97"/>
    <w:rsid w:val="000B6624"/>
    <w:rsid w:val="000C14C7"/>
    <w:rsid w:val="000C2093"/>
    <w:rsid w:val="000C437D"/>
    <w:rsid w:val="000C64FC"/>
    <w:rsid w:val="000D42F5"/>
    <w:rsid w:val="000D70E2"/>
    <w:rsid w:val="000E010E"/>
    <w:rsid w:val="000E0BB6"/>
    <w:rsid w:val="000E2767"/>
    <w:rsid w:val="000E36A3"/>
    <w:rsid w:val="000E4C50"/>
    <w:rsid w:val="000E6533"/>
    <w:rsid w:val="000F39F4"/>
    <w:rsid w:val="000F423F"/>
    <w:rsid w:val="000F43C9"/>
    <w:rsid w:val="000F4AC1"/>
    <w:rsid w:val="00102626"/>
    <w:rsid w:val="0010657B"/>
    <w:rsid w:val="0010673E"/>
    <w:rsid w:val="0011067E"/>
    <w:rsid w:val="00111A1D"/>
    <w:rsid w:val="0011352F"/>
    <w:rsid w:val="0012035F"/>
    <w:rsid w:val="00123B70"/>
    <w:rsid w:val="001246B4"/>
    <w:rsid w:val="00125F64"/>
    <w:rsid w:val="00126F61"/>
    <w:rsid w:val="0013162D"/>
    <w:rsid w:val="00132FC6"/>
    <w:rsid w:val="00133CFE"/>
    <w:rsid w:val="00134BD9"/>
    <w:rsid w:val="00136C2F"/>
    <w:rsid w:val="00140FF2"/>
    <w:rsid w:val="0014287D"/>
    <w:rsid w:val="00144C41"/>
    <w:rsid w:val="0014536C"/>
    <w:rsid w:val="0014664E"/>
    <w:rsid w:val="00146704"/>
    <w:rsid w:val="00151502"/>
    <w:rsid w:val="00155A16"/>
    <w:rsid w:val="0015703C"/>
    <w:rsid w:val="00157FF3"/>
    <w:rsid w:val="001601A4"/>
    <w:rsid w:val="0016041F"/>
    <w:rsid w:val="00160E58"/>
    <w:rsid w:val="001611BD"/>
    <w:rsid w:val="00162E52"/>
    <w:rsid w:val="001654FA"/>
    <w:rsid w:val="00172338"/>
    <w:rsid w:val="001750C8"/>
    <w:rsid w:val="001754BF"/>
    <w:rsid w:val="001754C9"/>
    <w:rsid w:val="00177D67"/>
    <w:rsid w:val="00180B05"/>
    <w:rsid w:val="0018601A"/>
    <w:rsid w:val="00195612"/>
    <w:rsid w:val="00196741"/>
    <w:rsid w:val="001A34E7"/>
    <w:rsid w:val="001A70FB"/>
    <w:rsid w:val="001A7B05"/>
    <w:rsid w:val="001B7A76"/>
    <w:rsid w:val="001C1017"/>
    <w:rsid w:val="001C1DEA"/>
    <w:rsid w:val="001C3F8F"/>
    <w:rsid w:val="001D1C8C"/>
    <w:rsid w:val="001D21EE"/>
    <w:rsid w:val="001D3DB6"/>
    <w:rsid w:val="001D4D52"/>
    <w:rsid w:val="001D5712"/>
    <w:rsid w:val="001D6725"/>
    <w:rsid w:val="001E0637"/>
    <w:rsid w:val="001E0E7E"/>
    <w:rsid w:val="001E1D58"/>
    <w:rsid w:val="001E2CF9"/>
    <w:rsid w:val="001E431E"/>
    <w:rsid w:val="001E5D1B"/>
    <w:rsid w:val="001E67BF"/>
    <w:rsid w:val="001F0C75"/>
    <w:rsid w:val="00200D7D"/>
    <w:rsid w:val="0020409F"/>
    <w:rsid w:val="00204D8B"/>
    <w:rsid w:val="002066E4"/>
    <w:rsid w:val="00211946"/>
    <w:rsid w:val="00211F5A"/>
    <w:rsid w:val="00213E43"/>
    <w:rsid w:val="002221C7"/>
    <w:rsid w:val="00225A86"/>
    <w:rsid w:val="00226198"/>
    <w:rsid w:val="0022679C"/>
    <w:rsid w:val="00231A98"/>
    <w:rsid w:val="002320D2"/>
    <w:rsid w:val="0023430F"/>
    <w:rsid w:val="00234F77"/>
    <w:rsid w:val="002419A3"/>
    <w:rsid w:val="00241FB5"/>
    <w:rsid w:val="00247AFE"/>
    <w:rsid w:val="00251E48"/>
    <w:rsid w:val="00254709"/>
    <w:rsid w:val="00255109"/>
    <w:rsid w:val="00256F2E"/>
    <w:rsid w:val="00260D98"/>
    <w:rsid w:val="00263244"/>
    <w:rsid w:val="00263276"/>
    <w:rsid w:val="00264BA4"/>
    <w:rsid w:val="00265297"/>
    <w:rsid w:val="00267953"/>
    <w:rsid w:val="00270C58"/>
    <w:rsid w:val="00271792"/>
    <w:rsid w:val="00271A6E"/>
    <w:rsid w:val="0027225E"/>
    <w:rsid w:val="0027301D"/>
    <w:rsid w:val="00273919"/>
    <w:rsid w:val="00275667"/>
    <w:rsid w:val="00277435"/>
    <w:rsid w:val="00281F22"/>
    <w:rsid w:val="0028245E"/>
    <w:rsid w:val="00282928"/>
    <w:rsid w:val="00282C3C"/>
    <w:rsid w:val="002854B1"/>
    <w:rsid w:val="0029033F"/>
    <w:rsid w:val="00294F08"/>
    <w:rsid w:val="002964B6"/>
    <w:rsid w:val="002972E9"/>
    <w:rsid w:val="00297CC2"/>
    <w:rsid w:val="002A2E9C"/>
    <w:rsid w:val="002A5FF7"/>
    <w:rsid w:val="002A6A87"/>
    <w:rsid w:val="002B1377"/>
    <w:rsid w:val="002B2C5C"/>
    <w:rsid w:val="002C0D2E"/>
    <w:rsid w:val="002C2DD0"/>
    <w:rsid w:val="002D07F4"/>
    <w:rsid w:val="002D0E27"/>
    <w:rsid w:val="002D317E"/>
    <w:rsid w:val="002D43D2"/>
    <w:rsid w:val="002D49C5"/>
    <w:rsid w:val="002D5910"/>
    <w:rsid w:val="002D715C"/>
    <w:rsid w:val="002D7FE3"/>
    <w:rsid w:val="002E50A1"/>
    <w:rsid w:val="002F0917"/>
    <w:rsid w:val="002F4E68"/>
    <w:rsid w:val="002F6FEA"/>
    <w:rsid w:val="00300684"/>
    <w:rsid w:val="003016DE"/>
    <w:rsid w:val="003040D1"/>
    <w:rsid w:val="00304F40"/>
    <w:rsid w:val="0031202B"/>
    <w:rsid w:val="00312A4F"/>
    <w:rsid w:val="00316382"/>
    <w:rsid w:val="00317CF0"/>
    <w:rsid w:val="00323BC9"/>
    <w:rsid w:val="00323DFD"/>
    <w:rsid w:val="003252C1"/>
    <w:rsid w:val="00326A83"/>
    <w:rsid w:val="00332BA7"/>
    <w:rsid w:val="00333A62"/>
    <w:rsid w:val="00334B11"/>
    <w:rsid w:val="00334C94"/>
    <w:rsid w:val="00336193"/>
    <w:rsid w:val="00336A12"/>
    <w:rsid w:val="00346649"/>
    <w:rsid w:val="003470EB"/>
    <w:rsid w:val="00351D89"/>
    <w:rsid w:val="00353424"/>
    <w:rsid w:val="003534AE"/>
    <w:rsid w:val="003570E8"/>
    <w:rsid w:val="00357AB6"/>
    <w:rsid w:val="003636B3"/>
    <w:rsid w:val="00364438"/>
    <w:rsid w:val="00366217"/>
    <w:rsid w:val="00366392"/>
    <w:rsid w:val="0036653E"/>
    <w:rsid w:val="0037157D"/>
    <w:rsid w:val="00372310"/>
    <w:rsid w:val="00372C04"/>
    <w:rsid w:val="003774D4"/>
    <w:rsid w:val="0038030D"/>
    <w:rsid w:val="0038067C"/>
    <w:rsid w:val="00380BB0"/>
    <w:rsid w:val="00380C0C"/>
    <w:rsid w:val="00381777"/>
    <w:rsid w:val="00383B8D"/>
    <w:rsid w:val="00384561"/>
    <w:rsid w:val="00385500"/>
    <w:rsid w:val="00385DF5"/>
    <w:rsid w:val="00392C32"/>
    <w:rsid w:val="00395D90"/>
    <w:rsid w:val="003A38EC"/>
    <w:rsid w:val="003A454D"/>
    <w:rsid w:val="003A56FC"/>
    <w:rsid w:val="003A6AC0"/>
    <w:rsid w:val="003B3820"/>
    <w:rsid w:val="003B3A66"/>
    <w:rsid w:val="003B3F52"/>
    <w:rsid w:val="003B4469"/>
    <w:rsid w:val="003E685A"/>
    <w:rsid w:val="003E70BE"/>
    <w:rsid w:val="003F000C"/>
    <w:rsid w:val="003F22A1"/>
    <w:rsid w:val="003F49E6"/>
    <w:rsid w:val="003F6657"/>
    <w:rsid w:val="004118A2"/>
    <w:rsid w:val="00411C7C"/>
    <w:rsid w:val="00413548"/>
    <w:rsid w:val="00413670"/>
    <w:rsid w:val="004239CB"/>
    <w:rsid w:val="00425712"/>
    <w:rsid w:val="00426C82"/>
    <w:rsid w:val="00430657"/>
    <w:rsid w:val="0043242D"/>
    <w:rsid w:val="00433C6B"/>
    <w:rsid w:val="0043674F"/>
    <w:rsid w:val="00440051"/>
    <w:rsid w:val="00441D01"/>
    <w:rsid w:val="00445CEE"/>
    <w:rsid w:val="004462F6"/>
    <w:rsid w:val="00447B95"/>
    <w:rsid w:val="00450A8E"/>
    <w:rsid w:val="0045128C"/>
    <w:rsid w:val="00452F39"/>
    <w:rsid w:val="004612E7"/>
    <w:rsid w:val="0046672F"/>
    <w:rsid w:val="00472E66"/>
    <w:rsid w:val="00473FAB"/>
    <w:rsid w:val="0048068E"/>
    <w:rsid w:val="004849CD"/>
    <w:rsid w:val="004921B8"/>
    <w:rsid w:val="004930DA"/>
    <w:rsid w:val="004946E5"/>
    <w:rsid w:val="00496C70"/>
    <w:rsid w:val="00497F90"/>
    <w:rsid w:val="004A1129"/>
    <w:rsid w:val="004A4A5A"/>
    <w:rsid w:val="004A7168"/>
    <w:rsid w:val="004B36FD"/>
    <w:rsid w:val="004B3A47"/>
    <w:rsid w:val="004B686B"/>
    <w:rsid w:val="004B7687"/>
    <w:rsid w:val="004B771B"/>
    <w:rsid w:val="004B7A2B"/>
    <w:rsid w:val="004C41A1"/>
    <w:rsid w:val="004C720D"/>
    <w:rsid w:val="004C7E5D"/>
    <w:rsid w:val="004D635B"/>
    <w:rsid w:val="004D697F"/>
    <w:rsid w:val="004D7D80"/>
    <w:rsid w:val="004E016B"/>
    <w:rsid w:val="004E1253"/>
    <w:rsid w:val="004E2811"/>
    <w:rsid w:val="004E33C4"/>
    <w:rsid w:val="004E3990"/>
    <w:rsid w:val="004E4393"/>
    <w:rsid w:val="004E7832"/>
    <w:rsid w:val="004F1973"/>
    <w:rsid w:val="004F587A"/>
    <w:rsid w:val="004F7074"/>
    <w:rsid w:val="0050210A"/>
    <w:rsid w:val="00504327"/>
    <w:rsid w:val="0050649E"/>
    <w:rsid w:val="0051633B"/>
    <w:rsid w:val="00516DF0"/>
    <w:rsid w:val="00524F15"/>
    <w:rsid w:val="00533E05"/>
    <w:rsid w:val="0053404F"/>
    <w:rsid w:val="005342FB"/>
    <w:rsid w:val="00534896"/>
    <w:rsid w:val="0053591B"/>
    <w:rsid w:val="00537244"/>
    <w:rsid w:val="00537835"/>
    <w:rsid w:val="00541CA0"/>
    <w:rsid w:val="0054288C"/>
    <w:rsid w:val="00552A00"/>
    <w:rsid w:val="00553F76"/>
    <w:rsid w:val="00557169"/>
    <w:rsid w:val="00566AB2"/>
    <w:rsid w:val="005672BF"/>
    <w:rsid w:val="00573580"/>
    <w:rsid w:val="005735F6"/>
    <w:rsid w:val="00581FBF"/>
    <w:rsid w:val="00582BA4"/>
    <w:rsid w:val="00583DAC"/>
    <w:rsid w:val="0058414B"/>
    <w:rsid w:val="00584334"/>
    <w:rsid w:val="005843AA"/>
    <w:rsid w:val="00586024"/>
    <w:rsid w:val="00586D43"/>
    <w:rsid w:val="00590844"/>
    <w:rsid w:val="00594596"/>
    <w:rsid w:val="005948CC"/>
    <w:rsid w:val="00594CE7"/>
    <w:rsid w:val="005A4024"/>
    <w:rsid w:val="005A7DEA"/>
    <w:rsid w:val="005B310B"/>
    <w:rsid w:val="005B5AAB"/>
    <w:rsid w:val="005B7E06"/>
    <w:rsid w:val="005C50CE"/>
    <w:rsid w:val="005C5120"/>
    <w:rsid w:val="005D17CC"/>
    <w:rsid w:val="005D2531"/>
    <w:rsid w:val="005D58A3"/>
    <w:rsid w:val="005D6D0C"/>
    <w:rsid w:val="005D6F2C"/>
    <w:rsid w:val="005E150B"/>
    <w:rsid w:val="005E795A"/>
    <w:rsid w:val="005F0B58"/>
    <w:rsid w:val="005F1336"/>
    <w:rsid w:val="005F4E0C"/>
    <w:rsid w:val="00601854"/>
    <w:rsid w:val="00602606"/>
    <w:rsid w:val="00603E5D"/>
    <w:rsid w:val="00605215"/>
    <w:rsid w:val="00605AB5"/>
    <w:rsid w:val="00606D7B"/>
    <w:rsid w:val="00606F48"/>
    <w:rsid w:val="00607D7C"/>
    <w:rsid w:val="00607F5D"/>
    <w:rsid w:val="00610D82"/>
    <w:rsid w:val="00610FA8"/>
    <w:rsid w:val="00613333"/>
    <w:rsid w:val="0062091E"/>
    <w:rsid w:val="00621562"/>
    <w:rsid w:val="006222B0"/>
    <w:rsid w:val="00623E8A"/>
    <w:rsid w:val="00626F75"/>
    <w:rsid w:val="006306ED"/>
    <w:rsid w:val="0063423D"/>
    <w:rsid w:val="006362AA"/>
    <w:rsid w:val="00643E8D"/>
    <w:rsid w:val="006448DE"/>
    <w:rsid w:val="00652FA3"/>
    <w:rsid w:val="00654650"/>
    <w:rsid w:val="00654B2E"/>
    <w:rsid w:val="006572DA"/>
    <w:rsid w:val="00665589"/>
    <w:rsid w:val="00670650"/>
    <w:rsid w:val="0067111B"/>
    <w:rsid w:val="00671B7F"/>
    <w:rsid w:val="006725E7"/>
    <w:rsid w:val="0067265E"/>
    <w:rsid w:val="0067329A"/>
    <w:rsid w:val="006749F9"/>
    <w:rsid w:val="00674D5A"/>
    <w:rsid w:val="0067718E"/>
    <w:rsid w:val="006844B4"/>
    <w:rsid w:val="00684BBB"/>
    <w:rsid w:val="00686FC0"/>
    <w:rsid w:val="00690472"/>
    <w:rsid w:val="00690683"/>
    <w:rsid w:val="006917A1"/>
    <w:rsid w:val="00691C68"/>
    <w:rsid w:val="006A033E"/>
    <w:rsid w:val="006A0890"/>
    <w:rsid w:val="006A26FF"/>
    <w:rsid w:val="006A63DB"/>
    <w:rsid w:val="006A726C"/>
    <w:rsid w:val="006B06C1"/>
    <w:rsid w:val="006B1D90"/>
    <w:rsid w:val="006B68AD"/>
    <w:rsid w:val="006C5534"/>
    <w:rsid w:val="006C5A69"/>
    <w:rsid w:val="006C7267"/>
    <w:rsid w:val="006C7463"/>
    <w:rsid w:val="006C7847"/>
    <w:rsid w:val="006D0CD5"/>
    <w:rsid w:val="006E111A"/>
    <w:rsid w:val="006E11D3"/>
    <w:rsid w:val="006E3E31"/>
    <w:rsid w:val="006F09D2"/>
    <w:rsid w:val="006F1A8F"/>
    <w:rsid w:val="006F1C3F"/>
    <w:rsid w:val="006F3F95"/>
    <w:rsid w:val="006F4A67"/>
    <w:rsid w:val="00702B4E"/>
    <w:rsid w:val="00704209"/>
    <w:rsid w:val="00710994"/>
    <w:rsid w:val="007115E4"/>
    <w:rsid w:val="00711E75"/>
    <w:rsid w:val="00722762"/>
    <w:rsid w:val="0072322D"/>
    <w:rsid w:val="0072530A"/>
    <w:rsid w:val="007301C6"/>
    <w:rsid w:val="00730EC0"/>
    <w:rsid w:val="00733579"/>
    <w:rsid w:val="00733612"/>
    <w:rsid w:val="007340A5"/>
    <w:rsid w:val="00735134"/>
    <w:rsid w:val="00735554"/>
    <w:rsid w:val="00735D64"/>
    <w:rsid w:val="00741602"/>
    <w:rsid w:val="00744A2B"/>
    <w:rsid w:val="00745064"/>
    <w:rsid w:val="0075062F"/>
    <w:rsid w:val="0075169D"/>
    <w:rsid w:val="007522FA"/>
    <w:rsid w:val="00752BFF"/>
    <w:rsid w:val="00754EC7"/>
    <w:rsid w:val="00756C3A"/>
    <w:rsid w:val="00757E65"/>
    <w:rsid w:val="00763CAB"/>
    <w:rsid w:val="00766AFC"/>
    <w:rsid w:val="00766FF5"/>
    <w:rsid w:val="007671DB"/>
    <w:rsid w:val="00767522"/>
    <w:rsid w:val="00771857"/>
    <w:rsid w:val="00777AA7"/>
    <w:rsid w:val="00777ACC"/>
    <w:rsid w:val="00780870"/>
    <w:rsid w:val="00786B22"/>
    <w:rsid w:val="00787DE4"/>
    <w:rsid w:val="00792572"/>
    <w:rsid w:val="00793EDA"/>
    <w:rsid w:val="007A1AFB"/>
    <w:rsid w:val="007A1FB4"/>
    <w:rsid w:val="007A68F2"/>
    <w:rsid w:val="007A6E75"/>
    <w:rsid w:val="007B09BF"/>
    <w:rsid w:val="007B11B8"/>
    <w:rsid w:val="007B1210"/>
    <w:rsid w:val="007B21FE"/>
    <w:rsid w:val="007B284A"/>
    <w:rsid w:val="007B28D0"/>
    <w:rsid w:val="007B2BD6"/>
    <w:rsid w:val="007B4D7F"/>
    <w:rsid w:val="007B62FC"/>
    <w:rsid w:val="007B7735"/>
    <w:rsid w:val="007C20A9"/>
    <w:rsid w:val="007C2969"/>
    <w:rsid w:val="007C2F2E"/>
    <w:rsid w:val="007C681D"/>
    <w:rsid w:val="007D02A4"/>
    <w:rsid w:val="007D160F"/>
    <w:rsid w:val="007D1DCD"/>
    <w:rsid w:val="007D392F"/>
    <w:rsid w:val="007D563F"/>
    <w:rsid w:val="007D6ED6"/>
    <w:rsid w:val="007E178A"/>
    <w:rsid w:val="007E468C"/>
    <w:rsid w:val="007E6014"/>
    <w:rsid w:val="007E610C"/>
    <w:rsid w:val="007E7627"/>
    <w:rsid w:val="007F2CC4"/>
    <w:rsid w:val="007F4792"/>
    <w:rsid w:val="007F6746"/>
    <w:rsid w:val="007F7139"/>
    <w:rsid w:val="00800C3E"/>
    <w:rsid w:val="0080231A"/>
    <w:rsid w:val="00803167"/>
    <w:rsid w:val="008037A6"/>
    <w:rsid w:val="00810033"/>
    <w:rsid w:val="0081081A"/>
    <w:rsid w:val="00811479"/>
    <w:rsid w:val="008128D4"/>
    <w:rsid w:val="008130AC"/>
    <w:rsid w:val="008136FC"/>
    <w:rsid w:val="00815BA9"/>
    <w:rsid w:val="008179E2"/>
    <w:rsid w:val="0082094C"/>
    <w:rsid w:val="00822394"/>
    <w:rsid w:val="00822CBC"/>
    <w:rsid w:val="00825DD1"/>
    <w:rsid w:val="00826659"/>
    <w:rsid w:val="00830769"/>
    <w:rsid w:val="00831A3E"/>
    <w:rsid w:val="00831B4A"/>
    <w:rsid w:val="00832871"/>
    <w:rsid w:val="008346E8"/>
    <w:rsid w:val="00840C14"/>
    <w:rsid w:val="00840F1D"/>
    <w:rsid w:val="008413A9"/>
    <w:rsid w:val="0084373E"/>
    <w:rsid w:val="00843B6C"/>
    <w:rsid w:val="00843FA9"/>
    <w:rsid w:val="00845DB9"/>
    <w:rsid w:val="008469E9"/>
    <w:rsid w:val="0085101A"/>
    <w:rsid w:val="0085156A"/>
    <w:rsid w:val="00851BD5"/>
    <w:rsid w:val="008535C7"/>
    <w:rsid w:val="00854163"/>
    <w:rsid w:val="00854E0B"/>
    <w:rsid w:val="00856B99"/>
    <w:rsid w:val="008578BE"/>
    <w:rsid w:val="00867A15"/>
    <w:rsid w:val="0087091E"/>
    <w:rsid w:val="00871DE8"/>
    <w:rsid w:val="0088192D"/>
    <w:rsid w:val="00881F12"/>
    <w:rsid w:val="00882B1D"/>
    <w:rsid w:val="008851CF"/>
    <w:rsid w:val="008909D8"/>
    <w:rsid w:val="00893BB0"/>
    <w:rsid w:val="008963B8"/>
    <w:rsid w:val="008973BF"/>
    <w:rsid w:val="008A52BF"/>
    <w:rsid w:val="008B10C6"/>
    <w:rsid w:val="008B6793"/>
    <w:rsid w:val="008C09A4"/>
    <w:rsid w:val="008C1BBA"/>
    <w:rsid w:val="008C23D1"/>
    <w:rsid w:val="008C358A"/>
    <w:rsid w:val="008C504B"/>
    <w:rsid w:val="008C6B56"/>
    <w:rsid w:val="008C78E7"/>
    <w:rsid w:val="008D010D"/>
    <w:rsid w:val="008D1565"/>
    <w:rsid w:val="008D28EB"/>
    <w:rsid w:val="008D6F72"/>
    <w:rsid w:val="008E3AC3"/>
    <w:rsid w:val="008E6F3D"/>
    <w:rsid w:val="008E79BB"/>
    <w:rsid w:val="008F08A1"/>
    <w:rsid w:val="008F10DA"/>
    <w:rsid w:val="008F29AB"/>
    <w:rsid w:val="008F5FE3"/>
    <w:rsid w:val="008F6363"/>
    <w:rsid w:val="009007C9"/>
    <w:rsid w:val="00904CC1"/>
    <w:rsid w:val="009051CD"/>
    <w:rsid w:val="009112FF"/>
    <w:rsid w:val="009114BD"/>
    <w:rsid w:val="00912C0A"/>
    <w:rsid w:val="009209BD"/>
    <w:rsid w:val="00921F02"/>
    <w:rsid w:val="00924A67"/>
    <w:rsid w:val="00924C2B"/>
    <w:rsid w:val="00931558"/>
    <w:rsid w:val="00946B18"/>
    <w:rsid w:val="009519AF"/>
    <w:rsid w:val="00953B59"/>
    <w:rsid w:val="00956551"/>
    <w:rsid w:val="0096024F"/>
    <w:rsid w:val="00960250"/>
    <w:rsid w:val="0096160B"/>
    <w:rsid w:val="009626B9"/>
    <w:rsid w:val="00965469"/>
    <w:rsid w:val="00965E89"/>
    <w:rsid w:val="00966E3B"/>
    <w:rsid w:val="00974746"/>
    <w:rsid w:val="00974C2B"/>
    <w:rsid w:val="00975DEB"/>
    <w:rsid w:val="00981345"/>
    <w:rsid w:val="009817DE"/>
    <w:rsid w:val="00985021"/>
    <w:rsid w:val="00992A4B"/>
    <w:rsid w:val="00993B3C"/>
    <w:rsid w:val="00994CD2"/>
    <w:rsid w:val="00997206"/>
    <w:rsid w:val="00997F50"/>
    <w:rsid w:val="009A07D5"/>
    <w:rsid w:val="009A0B47"/>
    <w:rsid w:val="009A0CC0"/>
    <w:rsid w:val="009A0DEC"/>
    <w:rsid w:val="009A1A89"/>
    <w:rsid w:val="009A3CDF"/>
    <w:rsid w:val="009A4AD7"/>
    <w:rsid w:val="009A5A66"/>
    <w:rsid w:val="009A64C6"/>
    <w:rsid w:val="009B1213"/>
    <w:rsid w:val="009B28EA"/>
    <w:rsid w:val="009C2AEE"/>
    <w:rsid w:val="009C4301"/>
    <w:rsid w:val="009C4B10"/>
    <w:rsid w:val="009C5323"/>
    <w:rsid w:val="009C5C92"/>
    <w:rsid w:val="009D0BD0"/>
    <w:rsid w:val="009D1DAD"/>
    <w:rsid w:val="009D3621"/>
    <w:rsid w:val="009E3D15"/>
    <w:rsid w:val="009E52E6"/>
    <w:rsid w:val="009E6372"/>
    <w:rsid w:val="009E6E31"/>
    <w:rsid w:val="009F45D2"/>
    <w:rsid w:val="009F696D"/>
    <w:rsid w:val="009F74CB"/>
    <w:rsid w:val="00A05CD3"/>
    <w:rsid w:val="00A100FD"/>
    <w:rsid w:val="00A112B2"/>
    <w:rsid w:val="00A115D6"/>
    <w:rsid w:val="00A127E7"/>
    <w:rsid w:val="00A143ED"/>
    <w:rsid w:val="00A148F7"/>
    <w:rsid w:val="00A14C7B"/>
    <w:rsid w:val="00A221D7"/>
    <w:rsid w:val="00A22343"/>
    <w:rsid w:val="00A22975"/>
    <w:rsid w:val="00A2535A"/>
    <w:rsid w:val="00A271A8"/>
    <w:rsid w:val="00A30574"/>
    <w:rsid w:val="00A34D4E"/>
    <w:rsid w:val="00A35043"/>
    <w:rsid w:val="00A35583"/>
    <w:rsid w:val="00A4245B"/>
    <w:rsid w:val="00A4299A"/>
    <w:rsid w:val="00A44099"/>
    <w:rsid w:val="00A46846"/>
    <w:rsid w:val="00A53C9B"/>
    <w:rsid w:val="00A543E0"/>
    <w:rsid w:val="00A60B9A"/>
    <w:rsid w:val="00A63B52"/>
    <w:rsid w:val="00A679AC"/>
    <w:rsid w:val="00A70DE9"/>
    <w:rsid w:val="00A70F8F"/>
    <w:rsid w:val="00A7305C"/>
    <w:rsid w:val="00A73FDC"/>
    <w:rsid w:val="00A76F7E"/>
    <w:rsid w:val="00A8064E"/>
    <w:rsid w:val="00A81FE9"/>
    <w:rsid w:val="00A82F2A"/>
    <w:rsid w:val="00A86D85"/>
    <w:rsid w:val="00A876DB"/>
    <w:rsid w:val="00A87F11"/>
    <w:rsid w:val="00A917E7"/>
    <w:rsid w:val="00A91C19"/>
    <w:rsid w:val="00A92265"/>
    <w:rsid w:val="00A922C6"/>
    <w:rsid w:val="00A928E7"/>
    <w:rsid w:val="00A942F2"/>
    <w:rsid w:val="00AA00C3"/>
    <w:rsid w:val="00AA0BA2"/>
    <w:rsid w:val="00AA35F1"/>
    <w:rsid w:val="00AA7912"/>
    <w:rsid w:val="00AB0680"/>
    <w:rsid w:val="00AB3D6F"/>
    <w:rsid w:val="00AB6C2F"/>
    <w:rsid w:val="00AC1BD5"/>
    <w:rsid w:val="00AC224C"/>
    <w:rsid w:val="00AC6689"/>
    <w:rsid w:val="00AD2EDE"/>
    <w:rsid w:val="00AD4A87"/>
    <w:rsid w:val="00AD5CFA"/>
    <w:rsid w:val="00AD71ED"/>
    <w:rsid w:val="00AE0985"/>
    <w:rsid w:val="00AE1D88"/>
    <w:rsid w:val="00AE326B"/>
    <w:rsid w:val="00AE51FF"/>
    <w:rsid w:val="00AE5BDD"/>
    <w:rsid w:val="00AF15D1"/>
    <w:rsid w:val="00AF3A4B"/>
    <w:rsid w:val="00AF4A73"/>
    <w:rsid w:val="00AF7A0F"/>
    <w:rsid w:val="00B00F30"/>
    <w:rsid w:val="00B02516"/>
    <w:rsid w:val="00B10492"/>
    <w:rsid w:val="00B17566"/>
    <w:rsid w:val="00B177D4"/>
    <w:rsid w:val="00B17DFB"/>
    <w:rsid w:val="00B24127"/>
    <w:rsid w:val="00B26760"/>
    <w:rsid w:val="00B2686A"/>
    <w:rsid w:val="00B27534"/>
    <w:rsid w:val="00B3034E"/>
    <w:rsid w:val="00B31E5F"/>
    <w:rsid w:val="00B37F3C"/>
    <w:rsid w:val="00B436C2"/>
    <w:rsid w:val="00B45CC7"/>
    <w:rsid w:val="00B5102F"/>
    <w:rsid w:val="00B53A75"/>
    <w:rsid w:val="00B544B9"/>
    <w:rsid w:val="00B572E7"/>
    <w:rsid w:val="00B63616"/>
    <w:rsid w:val="00B6638F"/>
    <w:rsid w:val="00B67B1D"/>
    <w:rsid w:val="00B71557"/>
    <w:rsid w:val="00B73398"/>
    <w:rsid w:val="00B73A52"/>
    <w:rsid w:val="00B83830"/>
    <w:rsid w:val="00B84CAF"/>
    <w:rsid w:val="00B904D2"/>
    <w:rsid w:val="00B96809"/>
    <w:rsid w:val="00BA20DA"/>
    <w:rsid w:val="00BA3A0F"/>
    <w:rsid w:val="00BB0A12"/>
    <w:rsid w:val="00BB12E7"/>
    <w:rsid w:val="00BB3FE3"/>
    <w:rsid w:val="00BB6A6F"/>
    <w:rsid w:val="00BB74C9"/>
    <w:rsid w:val="00BC5E32"/>
    <w:rsid w:val="00BD256E"/>
    <w:rsid w:val="00BD3F18"/>
    <w:rsid w:val="00BE2AC1"/>
    <w:rsid w:val="00BE6693"/>
    <w:rsid w:val="00BF07A0"/>
    <w:rsid w:val="00BF1FD5"/>
    <w:rsid w:val="00BF495F"/>
    <w:rsid w:val="00BF4A97"/>
    <w:rsid w:val="00BF5A50"/>
    <w:rsid w:val="00C02CEE"/>
    <w:rsid w:val="00C05D0A"/>
    <w:rsid w:val="00C06B46"/>
    <w:rsid w:val="00C117A7"/>
    <w:rsid w:val="00C12098"/>
    <w:rsid w:val="00C153F8"/>
    <w:rsid w:val="00C1638D"/>
    <w:rsid w:val="00C204A8"/>
    <w:rsid w:val="00C273E1"/>
    <w:rsid w:val="00C27C69"/>
    <w:rsid w:val="00C27FC6"/>
    <w:rsid w:val="00C30C6B"/>
    <w:rsid w:val="00C32D75"/>
    <w:rsid w:val="00C33641"/>
    <w:rsid w:val="00C448CD"/>
    <w:rsid w:val="00C454E4"/>
    <w:rsid w:val="00C457F2"/>
    <w:rsid w:val="00C47C21"/>
    <w:rsid w:val="00C506C2"/>
    <w:rsid w:val="00C52AD2"/>
    <w:rsid w:val="00C5391D"/>
    <w:rsid w:val="00C54BB2"/>
    <w:rsid w:val="00C54BC9"/>
    <w:rsid w:val="00C553AE"/>
    <w:rsid w:val="00C60ED1"/>
    <w:rsid w:val="00C63386"/>
    <w:rsid w:val="00C65335"/>
    <w:rsid w:val="00C67B57"/>
    <w:rsid w:val="00C67FC5"/>
    <w:rsid w:val="00C70425"/>
    <w:rsid w:val="00C732B9"/>
    <w:rsid w:val="00C75BD9"/>
    <w:rsid w:val="00C766BD"/>
    <w:rsid w:val="00C815AA"/>
    <w:rsid w:val="00C845B5"/>
    <w:rsid w:val="00C87A03"/>
    <w:rsid w:val="00C96128"/>
    <w:rsid w:val="00C975B8"/>
    <w:rsid w:val="00C97DD1"/>
    <w:rsid w:val="00CA12D3"/>
    <w:rsid w:val="00CA5BBC"/>
    <w:rsid w:val="00CB0655"/>
    <w:rsid w:val="00CB0ECA"/>
    <w:rsid w:val="00CC160D"/>
    <w:rsid w:val="00CC32D3"/>
    <w:rsid w:val="00CC3A0C"/>
    <w:rsid w:val="00CC4222"/>
    <w:rsid w:val="00CC46BA"/>
    <w:rsid w:val="00CC4A0D"/>
    <w:rsid w:val="00CC61CE"/>
    <w:rsid w:val="00CD11A3"/>
    <w:rsid w:val="00CD1F1D"/>
    <w:rsid w:val="00CD5AEC"/>
    <w:rsid w:val="00CE498B"/>
    <w:rsid w:val="00CE4BF4"/>
    <w:rsid w:val="00CF2421"/>
    <w:rsid w:val="00CF4084"/>
    <w:rsid w:val="00D0023A"/>
    <w:rsid w:val="00D02869"/>
    <w:rsid w:val="00D02BC4"/>
    <w:rsid w:val="00D0338C"/>
    <w:rsid w:val="00D04422"/>
    <w:rsid w:val="00D11AB3"/>
    <w:rsid w:val="00D12E84"/>
    <w:rsid w:val="00D13800"/>
    <w:rsid w:val="00D13C5E"/>
    <w:rsid w:val="00D14278"/>
    <w:rsid w:val="00D156B2"/>
    <w:rsid w:val="00D16721"/>
    <w:rsid w:val="00D171F6"/>
    <w:rsid w:val="00D17F92"/>
    <w:rsid w:val="00D208E1"/>
    <w:rsid w:val="00D217FA"/>
    <w:rsid w:val="00D21B0E"/>
    <w:rsid w:val="00D220B2"/>
    <w:rsid w:val="00D24063"/>
    <w:rsid w:val="00D241A6"/>
    <w:rsid w:val="00D249B9"/>
    <w:rsid w:val="00D32456"/>
    <w:rsid w:val="00D356E2"/>
    <w:rsid w:val="00D35C99"/>
    <w:rsid w:val="00D40EE7"/>
    <w:rsid w:val="00D42F27"/>
    <w:rsid w:val="00D47065"/>
    <w:rsid w:val="00D470EE"/>
    <w:rsid w:val="00D47DCB"/>
    <w:rsid w:val="00D50C16"/>
    <w:rsid w:val="00D5167F"/>
    <w:rsid w:val="00D5474C"/>
    <w:rsid w:val="00D54DA5"/>
    <w:rsid w:val="00D563D5"/>
    <w:rsid w:val="00D57402"/>
    <w:rsid w:val="00D57ECF"/>
    <w:rsid w:val="00D611A9"/>
    <w:rsid w:val="00D77707"/>
    <w:rsid w:val="00D85FED"/>
    <w:rsid w:val="00D861E4"/>
    <w:rsid w:val="00D869D7"/>
    <w:rsid w:val="00D9031F"/>
    <w:rsid w:val="00D928F5"/>
    <w:rsid w:val="00D93D2C"/>
    <w:rsid w:val="00D93F84"/>
    <w:rsid w:val="00D9524F"/>
    <w:rsid w:val="00D96804"/>
    <w:rsid w:val="00D9694D"/>
    <w:rsid w:val="00DA11E5"/>
    <w:rsid w:val="00DA1E67"/>
    <w:rsid w:val="00DA2D9C"/>
    <w:rsid w:val="00DA4E48"/>
    <w:rsid w:val="00DA7A81"/>
    <w:rsid w:val="00DB1600"/>
    <w:rsid w:val="00DB23F8"/>
    <w:rsid w:val="00DB44A4"/>
    <w:rsid w:val="00DB4586"/>
    <w:rsid w:val="00DB5F3F"/>
    <w:rsid w:val="00DB697F"/>
    <w:rsid w:val="00DC022F"/>
    <w:rsid w:val="00DC042E"/>
    <w:rsid w:val="00DC35DD"/>
    <w:rsid w:val="00DC6098"/>
    <w:rsid w:val="00DC6E4A"/>
    <w:rsid w:val="00DD2847"/>
    <w:rsid w:val="00DD35FA"/>
    <w:rsid w:val="00DD6614"/>
    <w:rsid w:val="00DD7739"/>
    <w:rsid w:val="00DD7BA6"/>
    <w:rsid w:val="00DE0242"/>
    <w:rsid w:val="00DE18C5"/>
    <w:rsid w:val="00DE2248"/>
    <w:rsid w:val="00DE251A"/>
    <w:rsid w:val="00DE3FED"/>
    <w:rsid w:val="00DE45C6"/>
    <w:rsid w:val="00DF7443"/>
    <w:rsid w:val="00DF7DFF"/>
    <w:rsid w:val="00E001B2"/>
    <w:rsid w:val="00E014C4"/>
    <w:rsid w:val="00E024F9"/>
    <w:rsid w:val="00E05159"/>
    <w:rsid w:val="00E07858"/>
    <w:rsid w:val="00E10D3B"/>
    <w:rsid w:val="00E124DB"/>
    <w:rsid w:val="00E16329"/>
    <w:rsid w:val="00E213CD"/>
    <w:rsid w:val="00E25604"/>
    <w:rsid w:val="00E3209A"/>
    <w:rsid w:val="00E32B1A"/>
    <w:rsid w:val="00E36D05"/>
    <w:rsid w:val="00E43D7E"/>
    <w:rsid w:val="00E44BD2"/>
    <w:rsid w:val="00E47A8C"/>
    <w:rsid w:val="00E51C26"/>
    <w:rsid w:val="00E52934"/>
    <w:rsid w:val="00E52955"/>
    <w:rsid w:val="00E5464F"/>
    <w:rsid w:val="00E556FF"/>
    <w:rsid w:val="00E5579C"/>
    <w:rsid w:val="00E55881"/>
    <w:rsid w:val="00E562F9"/>
    <w:rsid w:val="00E641BE"/>
    <w:rsid w:val="00E65D44"/>
    <w:rsid w:val="00E66B80"/>
    <w:rsid w:val="00E67B8D"/>
    <w:rsid w:val="00E717DC"/>
    <w:rsid w:val="00E71EBC"/>
    <w:rsid w:val="00E77802"/>
    <w:rsid w:val="00E820F6"/>
    <w:rsid w:val="00E8762D"/>
    <w:rsid w:val="00E901F4"/>
    <w:rsid w:val="00E94B7C"/>
    <w:rsid w:val="00E959FE"/>
    <w:rsid w:val="00EA35BE"/>
    <w:rsid w:val="00EA3EA2"/>
    <w:rsid w:val="00EA51F0"/>
    <w:rsid w:val="00EA6452"/>
    <w:rsid w:val="00EA6AA3"/>
    <w:rsid w:val="00EA7782"/>
    <w:rsid w:val="00EB5BAE"/>
    <w:rsid w:val="00EB64AF"/>
    <w:rsid w:val="00EB78B7"/>
    <w:rsid w:val="00EC45DE"/>
    <w:rsid w:val="00EC5CB8"/>
    <w:rsid w:val="00ED0222"/>
    <w:rsid w:val="00ED1FD0"/>
    <w:rsid w:val="00ED4D7A"/>
    <w:rsid w:val="00ED7237"/>
    <w:rsid w:val="00EE1165"/>
    <w:rsid w:val="00EE7C25"/>
    <w:rsid w:val="00EF00E8"/>
    <w:rsid w:val="00EF01F7"/>
    <w:rsid w:val="00EF2DF2"/>
    <w:rsid w:val="00EF40C5"/>
    <w:rsid w:val="00EF435D"/>
    <w:rsid w:val="00EF613D"/>
    <w:rsid w:val="00EF7AD7"/>
    <w:rsid w:val="00EF7C9B"/>
    <w:rsid w:val="00F0067B"/>
    <w:rsid w:val="00F006F9"/>
    <w:rsid w:val="00F0121A"/>
    <w:rsid w:val="00F0407C"/>
    <w:rsid w:val="00F04359"/>
    <w:rsid w:val="00F07CFC"/>
    <w:rsid w:val="00F139CE"/>
    <w:rsid w:val="00F16293"/>
    <w:rsid w:val="00F210E1"/>
    <w:rsid w:val="00F26FB8"/>
    <w:rsid w:val="00F2712F"/>
    <w:rsid w:val="00F274FD"/>
    <w:rsid w:val="00F279FE"/>
    <w:rsid w:val="00F324B1"/>
    <w:rsid w:val="00F33998"/>
    <w:rsid w:val="00F40F25"/>
    <w:rsid w:val="00F41710"/>
    <w:rsid w:val="00F41DED"/>
    <w:rsid w:val="00F51742"/>
    <w:rsid w:val="00F51F10"/>
    <w:rsid w:val="00F5348C"/>
    <w:rsid w:val="00F5470C"/>
    <w:rsid w:val="00F62767"/>
    <w:rsid w:val="00F6368D"/>
    <w:rsid w:val="00F72878"/>
    <w:rsid w:val="00F73E5E"/>
    <w:rsid w:val="00F75A6E"/>
    <w:rsid w:val="00F81FC1"/>
    <w:rsid w:val="00F83782"/>
    <w:rsid w:val="00F838F9"/>
    <w:rsid w:val="00F86893"/>
    <w:rsid w:val="00F8697C"/>
    <w:rsid w:val="00F86E35"/>
    <w:rsid w:val="00F8761B"/>
    <w:rsid w:val="00F9035B"/>
    <w:rsid w:val="00F906F6"/>
    <w:rsid w:val="00F9088A"/>
    <w:rsid w:val="00F90FC5"/>
    <w:rsid w:val="00F91D6F"/>
    <w:rsid w:val="00F95B8D"/>
    <w:rsid w:val="00FA1B5B"/>
    <w:rsid w:val="00FA32BD"/>
    <w:rsid w:val="00FB3DE0"/>
    <w:rsid w:val="00FC1C78"/>
    <w:rsid w:val="00FC2617"/>
    <w:rsid w:val="00FC29D4"/>
    <w:rsid w:val="00FD0E6A"/>
    <w:rsid w:val="00FD3920"/>
    <w:rsid w:val="00FD56AD"/>
    <w:rsid w:val="00FD7C66"/>
    <w:rsid w:val="00FE15D7"/>
    <w:rsid w:val="00FE591E"/>
    <w:rsid w:val="00FE7AF3"/>
    <w:rsid w:val="00FF1CCB"/>
    <w:rsid w:val="1308545D"/>
    <w:rsid w:val="265FFC37"/>
    <w:rsid w:val="3E60443C"/>
    <w:rsid w:val="44A26100"/>
    <w:rsid w:val="454E9AAD"/>
    <w:rsid w:val="46435B65"/>
    <w:rsid w:val="601E4F2F"/>
    <w:rsid w:val="6995716C"/>
    <w:rsid w:val="7697CBE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6A211"/>
  <w15:chartTrackingRefBased/>
  <w15:docId w15:val="{5947E858-13ED-4747-B32C-E2E8017FD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B68AD"/>
    <w:pPr>
      <w:spacing w:after="0" w:line="240" w:lineRule="auto"/>
    </w:pPr>
    <w:rPr>
      <w:rFonts w:ascii="Times New Roman" w:eastAsia="Times New Roman" w:hAnsi="Times New Roman" w:cs="Times New Roman"/>
      <w:sz w:val="24"/>
      <w:szCs w:val="24"/>
      <w:lang w:eastAsia="cs-CZ"/>
    </w:rPr>
  </w:style>
  <w:style w:type="paragraph" w:styleId="Nadpis2">
    <w:name w:val="heading 2"/>
    <w:basedOn w:val="Normln"/>
    <w:next w:val="Normln"/>
    <w:link w:val="Nadpis2Char"/>
    <w:uiPriority w:val="9"/>
    <w:unhideWhenUsed/>
    <w:qFormat/>
    <w:rsid w:val="00433C6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5B310B"/>
    <w:pPr>
      <w:tabs>
        <w:tab w:val="center" w:pos="4536"/>
        <w:tab w:val="right" w:pos="9072"/>
      </w:tabs>
    </w:pPr>
    <w:rPr>
      <w:rFonts w:asciiTheme="minorHAnsi" w:hAnsiTheme="minorHAnsi" w:cstheme="minorBidi"/>
    </w:rPr>
  </w:style>
  <w:style w:type="character" w:customStyle="1" w:styleId="ZhlavChar">
    <w:name w:val="Záhlaví Char"/>
    <w:basedOn w:val="Standardnpsmoodstavce"/>
    <w:link w:val="Zhlav"/>
    <w:uiPriority w:val="99"/>
    <w:rsid w:val="005B310B"/>
  </w:style>
  <w:style w:type="paragraph" w:styleId="Zpat">
    <w:name w:val="footer"/>
    <w:basedOn w:val="Normln"/>
    <w:link w:val="ZpatChar"/>
    <w:uiPriority w:val="99"/>
    <w:unhideWhenUsed/>
    <w:rsid w:val="005B310B"/>
    <w:pPr>
      <w:tabs>
        <w:tab w:val="center" w:pos="4536"/>
        <w:tab w:val="right" w:pos="9072"/>
      </w:tabs>
    </w:pPr>
    <w:rPr>
      <w:rFonts w:asciiTheme="minorHAnsi" w:hAnsiTheme="minorHAnsi" w:cstheme="minorBidi"/>
    </w:rPr>
  </w:style>
  <w:style w:type="character" w:customStyle="1" w:styleId="ZpatChar">
    <w:name w:val="Zápatí Char"/>
    <w:basedOn w:val="Standardnpsmoodstavce"/>
    <w:link w:val="Zpat"/>
    <w:uiPriority w:val="99"/>
    <w:rsid w:val="005B310B"/>
  </w:style>
  <w:style w:type="paragraph" w:styleId="Odstavecseseznamem">
    <w:name w:val="List Paragraph"/>
    <w:basedOn w:val="Normln"/>
    <w:link w:val="OdstavecseseznamemChar"/>
    <w:uiPriority w:val="34"/>
    <w:qFormat/>
    <w:rsid w:val="00425712"/>
    <w:pPr>
      <w:ind w:left="720"/>
      <w:contextualSpacing/>
    </w:pPr>
    <w:rPr>
      <w:rFonts w:asciiTheme="minorHAnsi" w:hAnsiTheme="minorHAnsi"/>
    </w:rPr>
  </w:style>
  <w:style w:type="character" w:styleId="Hypertextovodkaz">
    <w:name w:val="Hyperlink"/>
    <w:basedOn w:val="Standardnpsmoodstavce"/>
    <w:uiPriority w:val="99"/>
    <w:unhideWhenUsed/>
    <w:rsid w:val="00D13C5E"/>
    <w:rPr>
      <w:color w:val="0563C1" w:themeColor="hyperlink"/>
      <w:u w:val="single"/>
    </w:rPr>
  </w:style>
  <w:style w:type="paragraph" w:styleId="Bezmezer">
    <w:name w:val="No Spacing"/>
    <w:uiPriority w:val="1"/>
    <w:qFormat/>
    <w:rsid w:val="004F587A"/>
    <w:pPr>
      <w:spacing w:after="0" w:line="240" w:lineRule="auto"/>
    </w:pPr>
    <w:rPr>
      <w:rFonts w:ascii="Calibri" w:hAnsi="Calibri" w:cs="Calibri"/>
    </w:rPr>
  </w:style>
  <w:style w:type="table" w:styleId="Mkatabulky">
    <w:name w:val="Table Grid"/>
    <w:basedOn w:val="Normlntabulka"/>
    <w:uiPriority w:val="39"/>
    <w:rsid w:val="00F51F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1">
    <w:name w:val="Styl1"/>
    <w:basedOn w:val="Normln"/>
    <w:link w:val="Styl1Char"/>
    <w:qFormat/>
    <w:rsid w:val="00C975B8"/>
    <w:pPr>
      <w:spacing w:line="360" w:lineRule="auto"/>
    </w:pPr>
    <w:rPr>
      <w:color w:val="000000" w:themeColor="text1"/>
    </w:rPr>
  </w:style>
  <w:style w:type="character" w:customStyle="1" w:styleId="Styl1Char">
    <w:name w:val="Styl1 Char"/>
    <w:basedOn w:val="Standardnpsmoodstavce"/>
    <w:link w:val="Styl1"/>
    <w:rsid w:val="00C975B8"/>
    <w:rPr>
      <w:rFonts w:ascii="Calibri" w:hAnsi="Calibri" w:cs="Calibri"/>
      <w:color w:val="000000" w:themeColor="text1"/>
    </w:rPr>
  </w:style>
  <w:style w:type="paragraph" w:styleId="Normlnweb">
    <w:name w:val="Normal (Web)"/>
    <w:basedOn w:val="Normln"/>
    <w:uiPriority w:val="99"/>
    <w:unhideWhenUsed/>
    <w:rsid w:val="006B68AD"/>
    <w:pPr>
      <w:spacing w:before="100" w:beforeAutospacing="1" w:after="100" w:afterAutospacing="1"/>
    </w:pPr>
  </w:style>
  <w:style w:type="paragraph" w:styleId="Titulek">
    <w:name w:val="caption"/>
    <w:basedOn w:val="Normln"/>
    <w:next w:val="Normln"/>
    <w:unhideWhenUsed/>
    <w:qFormat/>
    <w:rsid w:val="006B68AD"/>
    <w:pPr>
      <w:spacing w:after="200"/>
    </w:pPr>
    <w:rPr>
      <w:i/>
      <w:iCs/>
      <w:color w:val="44546A" w:themeColor="text2"/>
      <w:sz w:val="18"/>
      <w:szCs w:val="18"/>
    </w:rPr>
  </w:style>
  <w:style w:type="character" w:styleId="Nevyeenzmnka">
    <w:name w:val="Unresolved Mention"/>
    <w:basedOn w:val="Standardnpsmoodstavce"/>
    <w:uiPriority w:val="99"/>
    <w:semiHidden/>
    <w:unhideWhenUsed/>
    <w:rsid w:val="00195612"/>
    <w:rPr>
      <w:color w:val="605E5C"/>
      <w:shd w:val="clear" w:color="auto" w:fill="E1DFDD"/>
    </w:rPr>
  </w:style>
  <w:style w:type="paragraph" w:styleId="Revize">
    <w:name w:val="Revision"/>
    <w:hidden/>
    <w:uiPriority w:val="99"/>
    <w:semiHidden/>
    <w:rsid w:val="00F0407C"/>
    <w:pPr>
      <w:spacing w:after="0" w:line="240" w:lineRule="auto"/>
    </w:pPr>
    <w:rPr>
      <w:rFonts w:ascii="Times New Roman" w:eastAsia="Times New Roman" w:hAnsi="Times New Roman" w:cs="Times New Roman"/>
      <w:sz w:val="24"/>
      <w:szCs w:val="24"/>
      <w:lang w:eastAsia="cs-CZ"/>
    </w:rPr>
  </w:style>
  <w:style w:type="character" w:customStyle="1" w:styleId="OdstavecseseznamemChar">
    <w:name w:val="Odstavec se seznamem Char"/>
    <w:basedOn w:val="Standardnpsmoodstavce"/>
    <w:link w:val="Odstavecseseznamem"/>
    <w:uiPriority w:val="34"/>
    <w:rsid w:val="00D57402"/>
    <w:rPr>
      <w:rFonts w:eastAsia="Times New Roman" w:cs="Times New Roman"/>
      <w:sz w:val="24"/>
      <w:szCs w:val="24"/>
      <w:lang w:eastAsia="cs-CZ"/>
    </w:rPr>
  </w:style>
  <w:style w:type="paragraph" w:styleId="Textkomente">
    <w:name w:val="annotation text"/>
    <w:basedOn w:val="Normln"/>
    <w:link w:val="TextkomenteChar"/>
    <w:uiPriority w:val="99"/>
    <w:unhideWhenUsed/>
    <w:rsid w:val="00C845B5"/>
    <w:rPr>
      <w:sz w:val="20"/>
      <w:szCs w:val="20"/>
    </w:rPr>
  </w:style>
  <w:style w:type="character" w:customStyle="1" w:styleId="TextkomenteChar">
    <w:name w:val="Text komentáře Char"/>
    <w:basedOn w:val="Standardnpsmoodstavce"/>
    <w:link w:val="Textkomente"/>
    <w:uiPriority w:val="99"/>
    <w:rsid w:val="00C845B5"/>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semiHidden/>
    <w:unhideWhenUsed/>
    <w:rsid w:val="00C845B5"/>
    <w:rPr>
      <w:sz w:val="16"/>
      <w:szCs w:val="16"/>
    </w:rPr>
  </w:style>
  <w:style w:type="paragraph" w:styleId="Pedmtkomente">
    <w:name w:val="annotation subject"/>
    <w:basedOn w:val="Textkomente"/>
    <w:next w:val="Textkomente"/>
    <w:link w:val="PedmtkomenteChar"/>
    <w:uiPriority w:val="99"/>
    <w:semiHidden/>
    <w:unhideWhenUsed/>
    <w:rsid w:val="00334C94"/>
    <w:rPr>
      <w:b/>
      <w:bCs/>
    </w:rPr>
  </w:style>
  <w:style w:type="character" w:customStyle="1" w:styleId="PedmtkomenteChar">
    <w:name w:val="Předmět komentáře Char"/>
    <w:basedOn w:val="TextkomenteChar"/>
    <w:link w:val="Pedmtkomente"/>
    <w:uiPriority w:val="99"/>
    <w:semiHidden/>
    <w:rsid w:val="00334C94"/>
    <w:rPr>
      <w:rFonts w:ascii="Times New Roman" w:eastAsia="Times New Roman" w:hAnsi="Times New Roman" w:cs="Times New Roman"/>
      <w:b/>
      <w:bCs/>
      <w:sz w:val="20"/>
      <w:szCs w:val="20"/>
      <w:lang w:eastAsia="cs-CZ"/>
    </w:rPr>
  </w:style>
  <w:style w:type="character" w:styleId="Zmnka">
    <w:name w:val="Mention"/>
    <w:basedOn w:val="Standardnpsmoodstavce"/>
    <w:uiPriority w:val="99"/>
    <w:unhideWhenUsed/>
    <w:rsid w:val="00E52934"/>
    <w:rPr>
      <w:color w:val="2B579A"/>
      <w:shd w:val="clear" w:color="auto" w:fill="E1DFDD"/>
    </w:rPr>
  </w:style>
  <w:style w:type="character" w:styleId="Sledovanodkaz">
    <w:name w:val="FollowedHyperlink"/>
    <w:basedOn w:val="Standardnpsmoodstavce"/>
    <w:uiPriority w:val="99"/>
    <w:semiHidden/>
    <w:unhideWhenUsed/>
    <w:rsid w:val="00F16293"/>
    <w:rPr>
      <w:color w:val="954F72" w:themeColor="followedHyperlink"/>
      <w:u w:val="single"/>
    </w:rPr>
  </w:style>
  <w:style w:type="character" w:customStyle="1" w:styleId="hgkelc">
    <w:name w:val="hgkelc"/>
    <w:basedOn w:val="Standardnpsmoodstavce"/>
    <w:rsid w:val="007F2CC4"/>
  </w:style>
  <w:style w:type="character" w:customStyle="1" w:styleId="Nadpis2Char">
    <w:name w:val="Nadpis 2 Char"/>
    <w:basedOn w:val="Standardnpsmoodstavce"/>
    <w:link w:val="Nadpis2"/>
    <w:uiPriority w:val="9"/>
    <w:rsid w:val="00433C6B"/>
    <w:rPr>
      <w:rFonts w:asciiTheme="majorHAnsi" w:eastAsiaTheme="majorEastAsia" w:hAnsiTheme="majorHAnsi" w:cstheme="majorBidi"/>
      <w:color w:val="2F5496" w:themeColor="accent1" w:themeShade="BF"/>
      <w:sz w:val="26"/>
      <w:szCs w:val="2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00937">
      <w:bodyDiv w:val="1"/>
      <w:marLeft w:val="0"/>
      <w:marRight w:val="0"/>
      <w:marTop w:val="0"/>
      <w:marBottom w:val="0"/>
      <w:divBdr>
        <w:top w:val="none" w:sz="0" w:space="0" w:color="auto"/>
        <w:left w:val="none" w:sz="0" w:space="0" w:color="auto"/>
        <w:bottom w:val="none" w:sz="0" w:space="0" w:color="auto"/>
        <w:right w:val="none" w:sz="0" w:space="0" w:color="auto"/>
      </w:divBdr>
    </w:div>
    <w:div w:id="1399327635">
      <w:bodyDiv w:val="1"/>
      <w:marLeft w:val="0"/>
      <w:marRight w:val="0"/>
      <w:marTop w:val="0"/>
      <w:marBottom w:val="0"/>
      <w:divBdr>
        <w:top w:val="none" w:sz="0" w:space="0" w:color="auto"/>
        <w:left w:val="none" w:sz="0" w:space="0" w:color="auto"/>
        <w:bottom w:val="none" w:sz="0" w:space="0" w:color="auto"/>
        <w:right w:val="none" w:sz="0" w:space="0" w:color="auto"/>
      </w:divBdr>
    </w:div>
    <w:div w:id="1610358904">
      <w:bodyDiv w:val="1"/>
      <w:marLeft w:val="0"/>
      <w:marRight w:val="0"/>
      <w:marTop w:val="0"/>
      <w:marBottom w:val="0"/>
      <w:divBdr>
        <w:top w:val="none" w:sz="0" w:space="0" w:color="auto"/>
        <w:left w:val="none" w:sz="0" w:space="0" w:color="auto"/>
        <w:bottom w:val="none" w:sz="0" w:space="0" w:color="auto"/>
        <w:right w:val="none" w:sz="0" w:space="0" w:color="auto"/>
      </w:divBdr>
    </w:div>
    <w:div w:id="1701055243">
      <w:bodyDiv w:val="1"/>
      <w:marLeft w:val="0"/>
      <w:marRight w:val="0"/>
      <w:marTop w:val="0"/>
      <w:marBottom w:val="0"/>
      <w:divBdr>
        <w:top w:val="none" w:sz="0" w:space="0" w:color="auto"/>
        <w:left w:val="none" w:sz="0" w:space="0" w:color="auto"/>
        <w:bottom w:val="none" w:sz="0" w:space="0" w:color="auto"/>
        <w:right w:val="none" w:sz="0" w:space="0" w:color="auto"/>
      </w:divBdr>
    </w:div>
    <w:div w:id="2000574915">
      <w:bodyDiv w:val="1"/>
      <w:marLeft w:val="0"/>
      <w:marRight w:val="0"/>
      <w:marTop w:val="0"/>
      <w:marBottom w:val="0"/>
      <w:divBdr>
        <w:top w:val="none" w:sz="0" w:space="0" w:color="auto"/>
        <w:left w:val="none" w:sz="0" w:space="0" w:color="auto"/>
        <w:bottom w:val="none" w:sz="0" w:space="0" w:color="auto"/>
        <w:right w:val="none" w:sz="0" w:space="0" w:color="auto"/>
      </w:divBdr>
    </w:div>
    <w:div w:id="209462494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dula\BESIP\2023\Aktuality\&#268;ist&#225;%20doprava\23-04-28%20V%20&#268;esku%20jezd&#237;%2016%20tis&#237;c%20osobn&#237;ch%20elektromobil&#367;,%20v%20pr&#367;m&#283;ru%20jsou%203%20roky%20star&#233;\CDV_sablona_hlavickovy_papir_vicestrankovy.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1CFB3-3BEB-4A3D-8B2D-8C83EFBCE3A4}">
  <ds:schemaRefs>
    <ds:schemaRef ds:uri="http://schemas.openxmlformats.org/officeDocument/2006/bibliography"/>
  </ds:schemaRefs>
</ds:datastoreItem>
</file>

<file path=docMetadata/LabelInfo.xml><?xml version="1.0" encoding="utf-8"?>
<clbl:labelList xmlns:clbl="http://schemas.microsoft.com/office/2020/mipLabelMetadata">
  <clbl:label id="{1d3304e1-9e75-4102-b10b-b4a29129044f}" enabled="0" method="" siteId="{1d3304e1-9e75-4102-b10b-b4a29129044f}" removed="1"/>
</clbl:labelList>
</file>

<file path=docProps/app.xml><?xml version="1.0" encoding="utf-8"?>
<Properties xmlns="http://schemas.openxmlformats.org/officeDocument/2006/extended-properties" xmlns:vt="http://schemas.openxmlformats.org/officeDocument/2006/docPropsVTypes">
  <Template>CDV_sablona_hlavickovy_papir_vicestrankovy</Template>
  <TotalTime>1</TotalTime>
  <Pages>3</Pages>
  <Words>909</Words>
  <Characters>5365</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6262</CharactersWithSpaces>
  <SharedDoc>false</SharedDoc>
  <HLinks>
    <vt:vector size="48" baseType="variant">
      <vt:variant>
        <vt:i4>2621519</vt:i4>
      </vt:variant>
      <vt:variant>
        <vt:i4>24</vt:i4>
      </vt:variant>
      <vt:variant>
        <vt:i4>0</vt:i4>
      </vt:variant>
      <vt:variant>
        <vt:i4>5</vt:i4>
      </vt:variant>
      <vt:variant>
        <vt:lpwstr>mailto:dagmar.pospisilova@cdv.cz</vt:lpwstr>
      </vt:variant>
      <vt:variant>
        <vt:lpwstr/>
      </vt:variant>
      <vt:variant>
        <vt:i4>327795</vt:i4>
      </vt:variant>
      <vt:variant>
        <vt:i4>21</vt:i4>
      </vt:variant>
      <vt:variant>
        <vt:i4>0</vt:i4>
      </vt:variant>
      <vt:variant>
        <vt:i4>5</vt:i4>
      </vt:variant>
      <vt:variant>
        <vt:lpwstr>mailto:lukas.kadula@cdv.cz</vt:lpwstr>
      </vt:variant>
      <vt:variant>
        <vt:lpwstr/>
      </vt:variant>
      <vt:variant>
        <vt:i4>6881336</vt:i4>
      </vt:variant>
      <vt:variant>
        <vt:i4>18</vt:i4>
      </vt:variant>
      <vt:variant>
        <vt:i4>0</vt:i4>
      </vt:variant>
      <vt:variant>
        <vt:i4>5</vt:i4>
      </vt:variant>
      <vt:variant>
        <vt:lpwstr>https://www.vyzkumnehod.cz/</vt:lpwstr>
      </vt:variant>
      <vt:variant>
        <vt:lpwstr/>
      </vt:variant>
      <vt:variant>
        <vt:i4>3211308</vt:i4>
      </vt:variant>
      <vt:variant>
        <vt:i4>15</vt:i4>
      </vt:variant>
      <vt:variant>
        <vt:i4>0</vt:i4>
      </vt:variant>
      <vt:variant>
        <vt:i4>5</vt:i4>
      </vt:variant>
      <vt:variant>
        <vt:lpwstr>https://nehody.cdv.cz/statistics.php?h=289k</vt:lpwstr>
      </vt:variant>
      <vt:variant>
        <vt:lpwstr/>
      </vt:variant>
      <vt:variant>
        <vt:i4>3866684</vt:i4>
      </vt:variant>
      <vt:variant>
        <vt:i4>9</vt:i4>
      </vt:variant>
      <vt:variant>
        <vt:i4>0</vt:i4>
      </vt:variant>
      <vt:variant>
        <vt:i4>5</vt:i4>
      </vt:variant>
      <vt:variant>
        <vt:lpwstr>https://nehody.cdv.cz/</vt:lpwstr>
      </vt:variant>
      <vt:variant>
        <vt:lpwstr/>
      </vt:variant>
      <vt:variant>
        <vt:i4>6553640</vt:i4>
      </vt:variant>
      <vt:variant>
        <vt:i4>6</vt:i4>
      </vt:variant>
      <vt:variant>
        <vt:i4>0</vt:i4>
      </vt:variant>
      <vt:variant>
        <vt:i4>5</vt:i4>
      </vt:variant>
      <vt:variant>
        <vt:lpwstr>https://www.esranet.eu/</vt:lpwstr>
      </vt:variant>
      <vt:variant>
        <vt:lpwstr/>
      </vt:variant>
      <vt:variant>
        <vt:i4>4718670</vt:i4>
      </vt:variant>
      <vt:variant>
        <vt:i4>0</vt:i4>
      </vt:variant>
      <vt:variant>
        <vt:i4>0</vt:i4>
      </vt:variant>
      <vt:variant>
        <vt:i4>5</vt:i4>
      </vt:variant>
      <vt:variant>
        <vt:lpwstr>https://www.cdv.cz/cs/vliv-alkoholu-na-nehodovost-ridicu-elektrokolobezek</vt:lpwstr>
      </vt:variant>
      <vt:variant>
        <vt:lpwstr/>
      </vt:variant>
      <vt:variant>
        <vt:i4>2359338</vt:i4>
      </vt:variant>
      <vt:variant>
        <vt:i4>0</vt:i4>
      </vt:variant>
      <vt:variant>
        <vt:i4>0</vt:i4>
      </vt:variant>
      <vt:variant>
        <vt:i4>5</vt:i4>
      </vt:variant>
      <vt:variant>
        <vt:lpwstr>https://www.cdv.cz/odborne-clanky/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Lukáš Kadula</dc:creator>
  <cp:keywords/>
  <dc:description/>
  <cp:lastModifiedBy>Veronika Peťková</cp:lastModifiedBy>
  <cp:revision>2</cp:revision>
  <cp:lastPrinted>2025-04-29T15:21:00Z</cp:lastPrinted>
  <dcterms:created xsi:type="dcterms:W3CDTF">2026-10-15T12:17:00Z</dcterms:created>
  <dcterms:modified xsi:type="dcterms:W3CDTF">2026-10-15T12:17:00Z</dcterms:modified>
</cp:coreProperties>
</file>